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ntk-20260805.htm"/>
      <w:bookmarkStart w:id="1" w:name="ksmntk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 xml:space="preserve">Montauk Renewables, Inc.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85-3189583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5313 Campbells Run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Pittsburgh,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15205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(412)</w:t>
            </w:r>
            <w:r>
              <w:rPr>
                <w:rFonts w:ascii="Times New Roman" w:hAnsi="Times New Roman"/>
                <w:color w:val="000000"/>
                <w:sz w:val="20"/>
              </w:rPr>
              <w:t xml:space="preserve"> </w:t>
            </w:r>
            <w:r>
              <w:rPr>
                <w:rFonts w:ascii="Times New Roman" w:hAnsi="Times New Roman"/>
                <w:b/>
                <w:color w:val="000000"/>
                <w:sz w:val="20"/>
              </w:rPr>
              <w:t>747-8700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MNTK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On August 5, 2026, Montauk Renewables, Inc. issued a press release announcing its financial results for the quarter ended June 30, 2026. A copy of the press release is furnished as Exhibit 99.1 to this report</w:t>
      </w:r>
      <w:r>
        <w:rPr>
          <w:rFonts w:ascii="Times New Roman" w:hAnsi="Times New Roman"/>
          <w:color w:val="000000"/>
          <w:sz w:val="18"/>
        </w:rPr>
        <w:t>.</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No. Description</w:t>
      </w:r>
    </w:p>
    <w:p>
      <w:pPr>
        <w:pStyle w:val="TextBody"/>
        <w:bidi w:val="0"/>
        <w:jc w:val="left"/>
        <w:rPr/>
      </w:pPr>
      <w:r>
        <w:rPr>
          <w:rFonts w:ascii="Times New Roman" w:hAnsi="Times New Roman"/>
          <w:color w:val="000000"/>
          <w:sz w:val="20"/>
        </w:rPr>
        <w:t xml:space="preserve">99.1 </w:t>
      </w:r>
      <w:hyperlink w:anchor="mntk-ex99_1.htm">
        <w:r>
          <w:rPr>
            <w:rStyle w:val="InternetLink"/>
            <w:rFonts w:ascii="Times New Roman" w:hAnsi="Times New Roman"/>
            <w:color w:val="0000FF"/>
            <w:sz w:val="20"/>
            <w:u w:val="single"/>
          </w:rPr>
          <w:t>Press release, dated August 5, 2026 of Montauk Renewables, Inc</w:t>
        </w:r>
      </w:hyperlink>
      <w:r>
        <w:rPr>
          <w:rFonts w:ascii="Times New Roman" w:hAnsi="Times New Roman"/>
          <w:color w:val="0000ED"/>
          <w:sz w:val="20"/>
          <w:u w:val="single"/>
        </w:rPr>
        <w:t>.</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79" w:type="dxa"/>
        <w:jc w:val="left"/>
        <w:tblInd w:w="0" w:type="dxa"/>
        <w:tblLayout w:type="fixed"/>
        <w:tblCellMar>
          <w:top w:w="28" w:type="dxa"/>
          <w:left w:w="28" w:type="dxa"/>
          <w:bottom w:w="28" w:type="dxa"/>
          <w:right w:w="28" w:type="dxa"/>
        </w:tblCellMar>
      </w:tblPr>
      <w:tblGrid>
        <w:gridCol w:w="556"/>
        <w:gridCol w:w="1351"/>
        <w:gridCol w:w="631"/>
        <w:gridCol w:w="29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MONTAUK RENEWABLES,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Kevin A. Van Asdalan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9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Kevin A. Van Asdalan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19"/>
        </w:rPr>
      </w:pPr>
      <w:bookmarkStart w:id="2" w:name="mntk-ex99_1.htm"/>
      <w:bookmarkStart w:id="3" w:name="ksmntkex99_1"/>
      <w:bookmarkEnd w:id="2"/>
      <w:bookmarkEnd w:id="3"/>
      <w:r>
        <w:rPr>
          <w:rFonts w:ascii="Times New Roman" w:hAnsi="Times New Roman"/>
          <w:color w:val="000000"/>
          <w:sz w:val="19"/>
        </w:rPr>
        <w:t>Exhibit 99.1</w:t>
      </w:r>
      <w:r>
        <w:br w:type="page"/>
      </w:r>
    </w:p>
    <w:p>
      <w:pPr>
        <w:pStyle w:val="TextBody"/>
        <w:bidi w:val="0"/>
        <w:jc w:val="left"/>
        <w:rPr>
          <w:rFonts w:ascii="Times New Roman" w:hAnsi="Times New Roman"/>
          <w:color w:val="000000"/>
          <w:sz w:val="19"/>
        </w:rPr>
      </w:pPr>
      <w:r>
        <w:rPr>
          <w:rFonts w:ascii="Times New Roman" w:hAnsi="Times New Roman"/>
          <w:color w:val="000000"/>
          <w:sz w:val="19"/>
        </w:rPr>
        <w:t>Montauk Renewables Announces Second Quarter 2026 Results</w:t>
      </w:r>
    </w:p>
    <w:p>
      <w:pPr>
        <w:pStyle w:val="TextBody"/>
        <w:bidi w:val="0"/>
        <w:spacing w:before="10"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PITTSBURGH, PENNSYLVANIA – August 5, 2026—Montauk Renewables, Inc. (“Montauk” or “the Company”) (NASDAQ: MNTK), a renewable energy company specializing in the management, recovery, and conversion of biogas into renewable natural gas (“RNG”), today announced financial results for the second quarter ended June 30, 2026.</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Second Quarter Highlights:</w:t>
      </w:r>
    </w:p>
    <w:p>
      <w:pPr>
        <w:pStyle w:val="TextBody"/>
        <w:bidi w:val="0"/>
        <w:spacing w:before="5"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Revenues of $54.0 million, increased 19.7 % year-over-year</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Net income of $0.2 million, increased 104.1% year-over-year</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Non-GAAP Adjusted EBITDA of $12.3 million, increased 144.5% year-over-year</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RNG production of 1.5 million MMBtu, increased 3% year-over-year</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RINs from operations sold of 14.3 million, increased 29.1% year-over-year</w:t>
      </w:r>
    </w:p>
    <w:p>
      <w:pPr>
        <w:pStyle w:val="TextBody"/>
        <w:bidi w:val="0"/>
        <w:jc w:val="left"/>
        <w:rPr/>
      </w:pPr>
      <w:r>
        <w:rPr/>
        <w:t> </w:t>
      </w:r>
    </w:p>
    <w:p>
      <w:pPr>
        <w:pStyle w:val="TextBody"/>
        <w:bidi w:val="0"/>
        <w:spacing w:before="1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9"/>
        </w:rPr>
        <w:t>In July 2026, we began generating power for sale from our Turkey, North Carolina facility. This production of power is expected to be eligible to generate both swine RECs and enhanced RECs in subsequent months. As we work to increase the volumes of power and RECs that are able to be generated from our volume of produced syngas, we have identified specific programming modifications to our installed electrical switchgear. The installation of these modifications will provide for both the increase in production volumes as well as enhance protection of our processing equipment and electrical transformers. We expect to have all programming completed by mid-August and consistently generate power and RECs from all available collected feedstock volumes.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9"/>
        </w:rPr>
        <w:t>We continue to progress with our installation of feedstock collection at our targeted 400 thousand to 450 thousand hog spaces. As of the end of July, we have entered into long term agreements with over fifty separate farming locations providing us access to at least 350 thousand hog spaces. We are currently able to collect from more than 250 thousand hog spaces and will continue farm site collection equipment installations during the second half of 2026.</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Second Quarter Financial Results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Total revenues in the second quarter of 2026 were $54.0 million, an increase of $8.9 million (19.7%) compared to $45.1 million in the second quarter of 2025. The increase is primarily related to environmental attribute revenues from RINs sold related to the distribution of RINs from our GreenWave joint venture, which had no RINs distributed and sold in the second quarter of 2025. Our second quarter of 2026 RNG volumes sold under fixed/floor-price contracts decreased approximately 80.0% compared to the second quarter of 2025 due to the expiration of fixed price pathway contracts. Our RNG commodity revenue decreased approximately 63.7% which was offset by an increase in RINs sold of 29.1%. Our RINs generated and unseparated decreased approximately 95.4% as a result of the transition to the Biogas Regulatory Reform Rule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Operating and maintenance expenses for our RNG facilities in the second quarter of 2026 were $15.6 million, a decrease of $1.4 million (8.2%) compared to $17.0 million in the second quarter of 2025. Our McCarty facility operating and maintenance expenses decreased approximately $0.9 million primarily due to the timing of maintenance of gas processing equipment. Our Apex facility operating and maintenance expenses decreased approximately $0.5 million primarily due to timing of gas processing preventative maintenance. Our Renewable Electricity Generation operating and maintenance expenses in the second quarter of 2026 were $5.1 million, an increase of $0.3 million (5.3%) compared to $4.8 million in the second quarter of 2025. The increase was primarily driven by an increase in non-capitalizable costs of $1.2 million for our Montauk Ag Renewables project. Our Bowerman facility operating and maintenance expenses decreased approximately $0.7 million, primarily driven by the decreased wellfield operational costs and timing of gas processing preventative maintenance. We recorded approximately $8.3 million of expenses in the second quarter of 2026 related to the cost of RINs distributed from GreenWave and the costs related to pathway dispensing associated with our dispensing RNG in exclusive unique and proprietary pathways. Total general and administrative expenses were $7.7 million in the second quarter of 2026, a decrease of $1.4 million (15.2%) compared to $9.1 million in the second quarter of 2025, driven by one-time accelerated vesting of $1.6 million from certain restricted share awards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Operating loss in the second quarter of 2026 was $0.1 million compared to $2.4 million in the second quarter of 2025. We recognized income of $3.8 million from our GreenWave joint venture in the second quarter of 2026. Net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9"/>
        </w:rPr>
      </w:pPr>
      <w:r>
        <w:rPr>
          <w:rFonts w:ascii="Times New Roman" w:hAnsi="Times New Roman"/>
          <w:color w:val="000000"/>
          <w:sz w:val="19"/>
        </w:rPr>
        <w:t>income in the second quarter of 2026 was $0.2 million compared to a net loss of $5.5 million in the second quarter of 2025.</w:t>
      </w:r>
    </w:p>
    <w:p>
      <w:pPr>
        <w:pStyle w:val="TextBody"/>
        <w:bidi w:val="0"/>
        <w:jc w:val="left"/>
        <w:rPr/>
      </w:pPr>
      <w:r>
        <w:rPr/>
        <w:t> </w:t>
      </w:r>
    </w:p>
    <w:p>
      <w:pPr>
        <w:pStyle w:val="TextBody"/>
        <w:bidi w:val="0"/>
        <w:spacing w:before="10"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Second Quarter Operational Results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We produced 1.5 million Metric Million British Thermal Units (“MMBtu”) of RNG during the second quarter of 2026, an increase of 43 thousand (3.0%) compared to 1.4 million MMBtu produced in the second quarter of 2025. Our McCarty facility produced 53 thousand MMBtu more in the second quarter of 2026 compared to the second quarter of 2025 as a result of landfill host wellfield operational and collection system enhancements. Our Apex facility produced 39 thousand MMBtu more in the second quarter of 2026 as compared to second quarter of 2025 as a result of increased feedstock gas from our improvements related to the landfill collection system. Our Galveston facility produced 26 thousand MMBtu fewer in the second quarter of 2026 compared to the second quarter of 2025 as a result of the landfill host assuming responsibility of wellfield operations and maintenance in 2026. Our Atascocita facility produced 37 thousand MMBtu fewer in the second quarter of 2026 compared to the second quarter of 2025 as a result of landfill host wellfield operational and collection system enhancement project timing and planned facility maintenance. We produced approximately 44 thousand megawatt hours (“MWh”) in Renewable Electricity in the second quarter of 2026, an increase of 2 thousand MWh compared to 42 thousand MWh produced in the second quarter of 2025. Our Bowerman facility produced approximately 3 thousand MWh more in the second quarter of 2026 compared to the second quarter of 2025. The increase is primarily related to increased gas flows due to landfill host wellfield improvements.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2026 Full Year Outlook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RNG revenues are expected to range between $175 and $190 million (unchanged)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RNG production volumes are expected to range between 5.8 and 6.0 million MMBtu (unchanged)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REG revenues are expected to range between $23 and $26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REG production volumes are expected to range between 185 and 195 thousand MWh</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The reduction in REG revenues and volumes outlook relates to our current expectations on the commencement of revenue and REG generation at our Montauk Ag Renewables facility.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Conference Call Information</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The Company will host a conference call August 6, 2026 at 8:30 a.m. Eastern time to discuss results. The registration for the conference call will be available via the following link:</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 </w:t>
      </w:r>
      <w:r>
        <w:rPr>
          <w:rFonts w:ascii="Times New Roman" w:hAnsi="Times New Roman"/>
          <w:sz w:val="19"/>
        </w:rPr>
        <w:t>https://register-conf.media-server.com/register/BI0c92589308504408b2dab7f3408891bf</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19"/>
        </w:rPr>
        <w:t xml:space="preserve">Please register for the conference call and webcast using the above link in advance of the call start time. The webcast platform will register your name and organization as well as provide dial-ins numbers and a unique access pin. The conference call will be broadcast live and be available for replay at </w:t>
      </w:r>
      <w:r>
        <w:rPr>
          <w:rFonts w:ascii="Times New Roman" w:hAnsi="Times New Roman"/>
          <w:sz w:val="19"/>
        </w:rPr>
        <w:t>https://edge.media-server.com/mmc/p/6xvvvg5h/</w:t>
      </w:r>
      <w:r>
        <w:rPr>
          <w:rFonts w:ascii="Times New Roman" w:hAnsi="Times New Roman"/>
          <w:color w:val="000000"/>
          <w:sz w:val="20"/>
        </w:rPr>
        <w:t xml:space="preserve"> </w:t>
      </w:r>
      <w:r>
        <w:rPr>
          <w:rFonts w:ascii="Times New Roman" w:hAnsi="Times New Roman"/>
          <w:color w:val="000000"/>
          <w:sz w:val="19"/>
        </w:rPr>
        <w:t xml:space="preserve">and on the Company’s website at </w:t>
      </w:r>
      <w:r>
        <w:rPr>
          <w:rFonts w:ascii="Times New Roman" w:hAnsi="Times New Roman"/>
          <w:sz w:val="19"/>
        </w:rPr>
        <w:t>https://ir.montaukrenewables.com</w:t>
      </w:r>
      <w:r>
        <w:rPr>
          <w:rFonts w:ascii="Times New Roman" w:hAnsi="Times New Roman"/>
          <w:color w:val="000000"/>
          <w:sz w:val="20"/>
        </w:rPr>
        <w:t xml:space="preserve"> </w:t>
      </w:r>
      <w:r>
        <w:rPr>
          <w:rFonts w:ascii="Times New Roman" w:hAnsi="Times New Roman"/>
          <w:color w:val="000000"/>
          <w:sz w:val="19"/>
        </w:rPr>
        <w:t>after 11:30 a.m. Eastern time on the same day through August 6, 2027.</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Use of Non-GAAP Financial Measures</w:t>
      </w:r>
    </w:p>
    <w:p>
      <w:pPr>
        <w:pStyle w:val="TextBody"/>
        <w:bidi w:val="0"/>
        <w:spacing w:before="1" w:after="283"/>
        <w:jc w:val="left"/>
        <w:rPr/>
      </w:pPr>
      <w:r>
        <w:rPr/>
        <w:t> </w:t>
      </w:r>
    </w:p>
    <w:p>
      <w:pPr>
        <w:pStyle w:val="TextBody"/>
        <w:bidi w:val="0"/>
        <w:jc w:val="both"/>
        <w:rPr>
          <w:rFonts w:ascii="Times New Roman" w:hAnsi="Times New Roman"/>
          <w:color w:val="000000"/>
          <w:sz w:val="19"/>
        </w:rPr>
      </w:pPr>
      <w:r>
        <w:rPr>
          <w:rFonts w:ascii="Times New Roman" w:hAnsi="Times New Roman"/>
          <w:color w:val="000000"/>
          <w:sz w:val="19"/>
        </w:rPr>
        <w:t>This press release and the accompanying tables include references to EBITDA and Adjusted EBITDA, which are Non-GAAP financial measures. We present EBITDA and Adjusted EBITDA because we believe the measures assist investors in analyzing our performance across reporting periods on a consistent basis by excluding items that we do not believe are indicative of our core operating performance.</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In addition, EBITDA and Adjusted EBITDA are financial measurements of performance that management and the board of directors use in their financial and operational decision-making and in the determination of certain compensation programs. EBITDA and Adjusted EBITDA are supplemental performance measures that are not required by or presented in accordance with GAAP. EBITDA and Adjusted EBITDA should not be considered alternatives to net income (loss) or any other performance measure derived in accordance with GAAP, or as an alternative to cash flows from operating activities or a measure of our liquidity or profitability.</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About Montauk Renewables, Inc.</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Montauk Renewables, Inc. (NASDAQ: MNTK) is a renewable energy company specializing in the management, recovery and conversion of biogas into RNG. The Company captures methane, preventing it from being released into the atmosphere, and converts it into either RNG or electrical power for the electrical grid (“Renewable Electricity”). The Company, headquartered in Pittsburgh, Pennsylvania, develops, operates and manages landfill methane-fueled renewable energy projects. The Company has current operations at 13 operating projects and on going development projects located in California, Idaho, Ohio, Oklahoma, Pennsylvania, North Carolina, South Carolina, and Texas. The Company sells RNG and Renewable Electricity, taking advantage of Environmental Attribute premiums available under federal and state policies that incentivize their use. For more information, visit </w:t>
      </w:r>
      <w:r>
        <w:rPr>
          <w:rFonts w:ascii="Times New Roman" w:hAnsi="Times New Roman"/>
          <w:color w:val="000000"/>
          <w:sz w:val="19"/>
          <w:u w:val="single"/>
        </w:rPr>
        <w:t>https://ir.montaukrenewables.com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Company Contact:</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John Ciroli</w:t>
      </w:r>
    </w:p>
    <w:p>
      <w:pPr>
        <w:pStyle w:val="TextBody"/>
        <w:bidi w:val="0"/>
        <w:jc w:val="left"/>
        <w:rPr>
          <w:rFonts w:ascii="Times New Roman" w:hAnsi="Times New Roman"/>
          <w:sz w:val="20"/>
        </w:rPr>
      </w:pPr>
      <w:r>
        <w:rPr>
          <w:rFonts w:ascii="Times New Roman" w:hAnsi="Times New Roman"/>
          <w:color w:val="000000"/>
          <w:sz w:val="19"/>
        </w:rPr>
        <w:t>Chief Legal Officer (CLO) &amp; Secretary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563C1"/>
          <w:sz w:val="19"/>
        </w:rPr>
        <w:t>investor@montaukrenewables.com</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(412) 747-8700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Investor Relations Contact:</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Georg Venturatos</w:t>
      </w:r>
    </w:p>
    <w:p>
      <w:pPr>
        <w:pStyle w:val="TextBody"/>
        <w:bidi w:val="0"/>
        <w:jc w:val="left"/>
        <w:rPr>
          <w:rFonts w:ascii="Times New Roman" w:hAnsi="Times New Roman"/>
          <w:sz w:val="20"/>
        </w:rPr>
      </w:pPr>
      <w:r>
        <w:rPr>
          <w:rFonts w:ascii="Times New Roman" w:hAnsi="Times New Roman"/>
          <w:color w:val="000000"/>
          <w:sz w:val="19"/>
        </w:rPr>
        <w:t>Gateway Investor Relations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563C1"/>
          <w:sz w:val="19"/>
        </w:rPr>
        <w:t>MNTK@gateway-grp.com</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(949) 574-3860</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19"/>
        </w:rPr>
      </w:pPr>
      <w:r>
        <w:rPr>
          <w:rFonts w:ascii="Times New Roman" w:hAnsi="Times New Roman"/>
          <w:color w:val="000000"/>
          <w:sz w:val="19"/>
        </w:rPr>
        <w:t>Safe Harbor Statement</w:t>
      </w:r>
    </w:p>
    <w:p>
      <w:pPr>
        <w:pStyle w:val="TextBody"/>
        <w:bidi w:val="0"/>
        <w:spacing w:before="0" w:after="160"/>
        <w:jc w:val="left"/>
        <w:rPr>
          <w:rFonts w:ascii="Times New Roman" w:hAnsi="Times New Roman"/>
          <w:sz w:val="20"/>
        </w:rPr>
      </w:pPr>
      <w:r>
        <w:rPr>
          <w:rFonts w:ascii="Times New Roman" w:hAnsi="Times New Roman"/>
          <w:color w:val="000000"/>
          <w:sz w:val="19"/>
        </w:rPr>
        <w:t>This release contains “forward-looking statements” within the meaning of U.S. federal securities laws that involve substantial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Forward-looking statements may include words such as “anticipate,” “assume,” “believe,” “can have,” “contemplate,” “continue,” “strive,” “aim,” “could,” “design,” “due,” “estimate,” “expect,” “forecast,” “goal,” “intend,” “likely,” “may,” “might,” “objective,” “plan,” “predict,” “project,” “potential,” “seek,” “should,” “target,” “will,” “would,” and other words and terms of similar meaning in connection with any discussion of the timing or nature of future operational performance or other events. For example, all statements we make relating to our future results of operations, financial condition, expectations and plans, including those related to the Montauk Ag project in North Carolina, the GreenWave joint venture, the Bowerman RNG Facility, the development of a biogenic carbon dioxide facility and the related offtake, the Emvolon collaboration and pilot project, the Rumpke RNG Relocation project, the Tulsa facility project, the resolution of gas collection issues at the McCarty facility, the delays and cancellations of landfill host wellfield expansion projects, the mitigation of wellfield extraction environmental factors at the Rumpke and Apex facilities, how we may monetize RNG production and weather-related anomalies are forward-looking statements. All forward-looking statements are subject to risks and uncertainties that may cause actual results to differ materially from those that we expect and, therefore, you should not unduly rely on such statements. The risks and uncertainties that could cause those actual results to differ materially from those expressed or implied by these forward-looking statements include but are not limited to: our ability to develop and operate new renewable energy projects, including with livestock farms, and related challenges associated with new projects, such as achieving anticipated levels of energy output on a sustained basis on the announced timeline, identifying suitable locations, obtaining and refinancing or otherwise repaying acquisition financing and unexpected delays in construction and development; reduction or elimination of government loans, subsidies and other economic incentives to the renewable energy market, as a result of the current presidential administration and otherwise; the inability to complete strategic development opportunities; widespread manmade, natural and other disasters (including severe weather events), health emergencies, dislocations, geopolitical instabilities or events (including the current unrest in the Middle East), domestic protests and other forms of civil unrest, terrorist activities, international hostilities, government shutdowns, political elections, security breaches, cyberattacks or other extraordinary events that impact general economic conditions, energy markets, financial markets and/or our business and operating results; taxes, tariffs, duties or other assessments on equipment necessary to generate or deliver renewable energy or continued inflation that raise our operating costs and increase the construction costs of our existing or new projects; rising interest rates increase the borrowing costs of indebtedness; the failure to attract and retain qualified personnel or a possible increased reliance on third-party contractors as a result, and the potential unenforceability of non-compete clauses with our employees; the length of development and optimization cycles for new projects, including the design and construction processes for our livestock farm and other renewable energy projects; dependence on third parties for the manufacture of products and services and our landfill operations; the quantity, quality and consistency of our feedstock volumes from both landfill and livestock farm operations; reliance on interconnections with and access to electric utility distribution and transmission facilities and gas transportation pipelines for our Renewable Natural Gas and Renewable Electricity Generation segments; our ability to renew pathway provider sharing arrangements at historical counterparty share percentages; our projects not producing expected levels of output; potential benefits associated with the combustion-based oxygen removal condensate neutralization technology; concentration of revenues from a small number of customers and projects; our outstanding indebtedness, ability to refinance indebtedness at acceptable rates or at all and restrictions under existing and future indebtedness; our ability to extend our fuel supply agreements prior to expiration; our ability to meet milestone requirements under our power purchase agreements; existing regulations and changes to regulations and policies that effect our operations; expected impacts of the Production Tax Credit and other tax credit benefits under the Inflation Reduction Act of 2022; decline in public acceptance and support of renewable energy development and projects; our expectations regarding Environmental Attribute volume requirements and prices and commodity prices; our expectations regarding the period during which we qualify as an emerging growth company under the Jumpstart Our Business Startups Act (“JOBS Act”); our expectations regarding future capital expenditures, including for the maintenance of facilities; our expectations regarding the use of net operating losses before expiration; our expectations regarding more attractive carbon intensity scores by regulatory agencies for our livestock farm projects; market volatility and fluctuations in commodity prices and the market prices of Environmental Attributes and the impact of any related hedging activity; regulatory changes in federal, state and international environmental attribute programs and the need to obtain and maintain regulatory permits, approvals, and consents; profitability of our planned livestock farm projects; sustained demand for renewable energy; potential liabilities from contamination and environmental conditions; potential exposure to costs and liabilities due to extensive environmental, health and safety laws; impacts of climate change, extreme and changing weather patterns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19"/>
        </w:rPr>
      </w:pPr>
      <w:r>
        <w:rPr>
          <w:rFonts w:ascii="Times New Roman" w:hAnsi="Times New Roman"/>
          <w:color w:val="000000"/>
          <w:sz w:val="19"/>
        </w:rPr>
        <w:t>and conditions and natural disasters; failure of our information technology and data security systems; increased competition in our markets; ability to keep up with technology innovations; concentrated stock ownership by a few stockholders and related control over the outcome of all matters subject to a stockholder vote; and other risks and uncertainties detailed in the section titled “Risk Factors” in our latest Annual Report on Form 10-K and our other filings with the SEC.</w:t>
      </w:r>
    </w:p>
    <w:p>
      <w:pPr>
        <w:pStyle w:val="TextBody"/>
        <w:bidi w:val="0"/>
        <w:spacing w:before="0" w:after="160"/>
        <w:jc w:val="left"/>
        <w:rPr>
          <w:rFonts w:ascii="Times New Roman" w:hAnsi="Times New Roman"/>
          <w:color w:val="000000"/>
          <w:sz w:val="19"/>
        </w:rPr>
      </w:pPr>
      <w:r>
        <w:rPr>
          <w:rFonts w:ascii="Times New Roman" w:hAnsi="Times New Roman"/>
          <w:color w:val="000000"/>
          <w:sz w:val="19"/>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All forward-looking statements attributable to us are expressly qualified in their entirety by these cautionary statements as well as others made in our Securities and Exchange Commission filings and public communications. You should evaluate all forward-looking statements made by us in the context of these risks and uncertainties. The forward-looking statements included herein are made only as of the date hereof. We undertake no obligation to publicly update or revise any forward-looking statement as a result of new information, future events, or otherwise, except as required by law.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15"/>
        <w:gridCol w:w="146"/>
        <w:gridCol w:w="219"/>
        <w:gridCol w:w="773"/>
        <w:gridCol w:w="166"/>
        <w:gridCol w:w="146"/>
        <w:gridCol w:w="253"/>
        <w:gridCol w:w="893"/>
        <w:gridCol w:w="694"/>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95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9,167</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insurance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37,155</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341,395</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19,605</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9,082</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18,380</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435,460</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33,425</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portion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$0.01 par value, authorized 690,000,000 shares; 143,912,811 shares issued at June 30, 2026 and December 31, 2025; 143,244,544 shares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stock, at cost, 2,521,886 shares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(21,681</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226,302</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57,096</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263,148</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435,460</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1"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404"/>
        <w:gridCol w:w="446"/>
        <w:gridCol w:w="196"/>
        <w:gridCol w:w="1006"/>
        <w:gridCol w:w="166"/>
        <w:gridCol w:w="146"/>
        <w:gridCol w:w="196"/>
        <w:gridCol w:w="1006"/>
        <w:gridCol w:w="166"/>
        <w:gridCol w:w="146"/>
        <w:gridCol w:w="196"/>
        <w:gridCol w:w="1006"/>
        <w:gridCol w:w="166"/>
        <w:gridCol w:w="146"/>
        <w:gridCol w:w="196"/>
        <w:gridCol w:w="1006"/>
        <w:gridCol w:w="611"/>
      </w:tblGrid>
      <w:tr>
        <w:trPr/>
        <w:tc>
          <w:tcPr>
            <w:tcW w:w="340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5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OPERATIONS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and per share data)</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revenues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and maintenance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Royalties, transportation, gathering and production fuel</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depletion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from equity investment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debt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(income)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common shares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143,244,544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143,035,626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143,244,544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142,874,606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143,932,316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143,035,626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143,916,829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142,874,606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017"/>
        <w:gridCol w:w="146"/>
        <w:gridCol w:w="196"/>
        <w:gridCol w:w="756"/>
        <w:gridCol w:w="166"/>
        <w:gridCol w:w="247"/>
        <w:gridCol w:w="196"/>
        <w:gridCol w:w="665"/>
        <w:gridCol w:w="816"/>
      </w:tblGrid>
      <w:tr>
        <w:trPr/>
        <w:tc>
          <w:tcPr>
            <w:tcW w:w="7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93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CASH FLOWS</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mark-to-market adjustments and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(gain) loss on sale or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expense - RINs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provided (used) by changes in assets and labilities: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Royalty offset long term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Critical spare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insurance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7,247</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17,346</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(45,298</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contributions to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collateral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(47,446</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of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extinguishment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stock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13,614</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(16,486</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46,004</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29,518</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29,133</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29,518</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 net of $4,426 and $64 capitalized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Accrual for purchase of property, plant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19,367</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RIN distribution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47"/>
        <w:gridCol w:w="310"/>
        <w:gridCol w:w="416"/>
        <w:gridCol w:w="1279"/>
        <w:gridCol w:w="353"/>
        <w:gridCol w:w="310"/>
        <w:gridCol w:w="416"/>
        <w:gridCol w:w="1279"/>
        <w:gridCol w:w="395"/>
      </w:tblGrid>
      <w:tr>
        <w:trPr/>
        <w:tc>
          <w:tcPr>
            <w:tcW w:w="544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NON-GAAP FINANCIAL MEASURES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following table provides our EBITDA and Adjusted EBITDA, as well as a reconciliation to net income (loss) which is the most directly comparable GAAP measure for the three and six months ended June 30, 2026 and 2025, respectively:</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depletion and amortization</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on disposal of assets</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EBITDA</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12,301</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5,032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depletion and amortization</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2,866</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21,066</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loss on sale of assets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EBITDA</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23,090</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13,820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4246</Words>
  <Characters>24220</Characters>
  <CharactersWithSpaces>29013</CharactersWithSpaces>
  <Paragraphs>1893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