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Ciroli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5313 CAMPBELLS RUN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Montauk Renewables,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MNTK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33" w:lineRule="exact"/>
        <w:rPr>
          <w:sz w:val="24"/>
          <w:szCs w:val="24"/>
          <w:color w:val="auto"/>
        </w:rPr>
      </w:pPr>
    </w:p>
    <w:p>
      <w:pPr>
        <w:sectPr>
          <w:pgSz w:w="11900" w:h="16838" w:orient="portrait"/>
          <w:cols w:equalWidth="0" w:num="3">
            <w:col w:w="3360" w:space="56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15205</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302,982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470,772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The grant of RSUs shall vest ratably on the third, fourth and fifth anniversary of date of grant. Each RSU is settled solely for one share of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302,982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Ciroli,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3517" TargetMode="External"/><Relationship Id="rId14" Type="http://schemas.openxmlformats.org/officeDocument/2006/relationships/hyperlink" Target="http://www.sec.gov/cgi-bin/browse-edgar?action=getcompany&amp;CIK=00018266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2026-05-22T16:26:06Z</dcterms:created>
  <dcterms:modified xsi:type="dcterms:W3CDTF">2026-05-22T16:26:06Z</dcterms:modified>
</cp:coreProperties>
</file>