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5806d8k.htm"/>
      <w:bookmarkStart w:id="1" w:name="ksd8580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Montauk Renewables,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1-39919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85-3189583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5313 Campbells Run Road</w:t>
      </w:r>
    </w:p>
    <w:p>
      <w:pPr>
        <w:pStyle w:val="TextBody"/>
        <w:bidi w:val="0"/>
        <w:spacing w:before="0" w:after="0"/>
        <w:jc w:val="center"/>
        <w:rPr>
          <w:rFonts w:ascii="Times New Roman" w:hAnsi="Times New Roman"/>
          <w:b/>
          <w:sz w:val="20"/>
        </w:rPr>
      </w:pPr>
      <w:r>
        <w:rPr>
          <w:rFonts w:ascii="Times New Roman" w:hAnsi="Times New Roman"/>
          <w:b/>
          <w:sz w:val="20"/>
        </w:rPr>
        <w:t>Suite 200</w:t>
      </w:r>
    </w:p>
    <w:p>
      <w:pPr>
        <w:pStyle w:val="TextBody"/>
        <w:bidi w:val="0"/>
        <w:spacing w:before="0" w:after="0"/>
        <w:jc w:val="center"/>
        <w:rPr>
          <w:rFonts w:ascii="Times New Roman" w:hAnsi="Times New Roman"/>
          <w:b/>
          <w:sz w:val="20"/>
        </w:rPr>
      </w:pPr>
      <w:r>
        <w:rPr>
          <w:rFonts w:ascii="Times New Roman" w:hAnsi="Times New Roman"/>
          <w:b/>
          <w:sz w:val="20"/>
        </w:rPr>
        <w:t>Pittsburgh, PA 15205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Telephone: (412) 747-8700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605" w:type="dxa"/>
        <w:jc w:val="left"/>
        <w:tblInd w:w="0" w:type="dxa"/>
        <w:tblLayout w:type="fixed"/>
        <w:tblCellMar>
          <w:top w:w="0" w:type="dxa"/>
          <w:left w:w="0" w:type="dxa"/>
          <w:bottom w:w="0" w:type="dxa"/>
          <w:right w:w="0" w:type="dxa"/>
        </w:tblCellMar>
      </w:tblPr>
      <w:tblGrid>
        <w:gridCol w:w="4025"/>
        <w:gridCol w:w="60"/>
        <w:gridCol w:w="740"/>
        <w:gridCol w:w="60"/>
        <w:gridCol w:w="272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MNTK</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25" w:type="dxa"/>
        <w:jc w:val="left"/>
        <w:tblInd w:w="0" w:type="dxa"/>
        <w:tblLayout w:type="fixed"/>
        <w:tblCellMar>
          <w:top w:w="0" w:type="dxa"/>
          <w:left w:w="0" w:type="dxa"/>
          <w:bottom w:w="0" w:type="dxa"/>
          <w:right w:w="0" w:type="dxa"/>
        </w:tblCellMar>
      </w:tblPr>
      <w:tblGrid>
        <w:gridCol w:w="920"/>
        <w:gridCol w:w="3905"/>
      </w:tblGrid>
      <w:tr>
        <w:trPr/>
        <w:tc>
          <w:tcPr>
            <w:tcW w:w="920" w:type="dxa"/>
            <w:tcBorders/>
            <w:vAlign w:val="center"/>
          </w:tcPr>
          <w:p>
            <w:pPr>
              <w:pStyle w:val="TableContents"/>
              <w:bidi w:val="0"/>
              <w:spacing w:before="0" w:after="283"/>
              <w:jc w:val="left"/>
              <w:rPr/>
            </w:pPr>
            <w:r>
              <w:rPr/>
              <w:t>Item 2.02</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6, 2026, Montauk Renewables, Inc. filed a headline earnings per share (“HEPS”) report with the Johannesburg Stock Exchange (“JSE”), a self-regulatory organization in South Africa, that includes certain historical financial information for the six months ended June 30, 2026. The HEPS report was prepared for the purpose of complying with the reporting requirements of the JSE. A copy of the HEPS report is attached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Item 2.02, including the exhibit attached hereto, is being furnished and shall not be deemed to be filed for purposes of Section 18 of the Securities Exchange Act of 1934 (the “Exchange Act”), or incorporated by reference into any filing under the Securities Act of 1933 or the Exchange Act, unless such subsequent filing specifically references this Current Report on Form 8-K. </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920"/>
        <w:gridCol w:w="2900"/>
      </w:tblGrid>
      <w:tr>
        <w:trPr/>
        <w:tc>
          <w:tcPr>
            <w:tcW w:w="920" w:type="dxa"/>
            <w:tcBorders/>
            <w:vAlign w:val="center"/>
          </w:tcPr>
          <w:p>
            <w:pPr>
              <w:pStyle w:val="TableContents"/>
              <w:bidi w:val="0"/>
              <w:spacing w:before="0" w:after="283"/>
              <w:jc w:val="left"/>
              <w:rPr/>
            </w:pPr>
            <w:r>
              <w:rPr/>
              <w:t>Item 9.01</w:t>
            </w:r>
          </w:p>
        </w:tc>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545"/>
        <w:gridCol w:w="120"/>
        <w:gridCol w:w="7685"/>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5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85806dex991.htm">
              <w:r>
                <w:rPr>
                  <w:rStyle w:val="InternetLink"/>
                </w:rPr>
                <w:t xml:space="preserve">HEPS report, as filed with the JSE, for the six months ended June 30, 2026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941" w:type="dxa"/>
        <w:jc w:val="left"/>
        <w:tblInd w:w="0" w:type="dxa"/>
        <w:tblLayout w:type="fixed"/>
        <w:tblCellMar>
          <w:top w:w="0" w:type="dxa"/>
          <w:left w:w="0" w:type="dxa"/>
          <w:bottom w:w="0" w:type="dxa"/>
          <w:right w:w="0" w:type="dxa"/>
        </w:tblCellMar>
      </w:tblPr>
      <w:tblGrid>
        <w:gridCol w:w="2195"/>
        <w:gridCol w:w="60"/>
        <w:gridCol w:w="23"/>
        <w:gridCol w:w="60"/>
        <w:gridCol w:w="798"/>
        <w:gridCol w:w="73"/>
        <w:gridCol w:w="2732"/>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03" w:type="dxa"/>
            <w:gridSpan w:val="3"/>
            <w:tcBorders/>
            <w:vAlign w:val="center"/>
          </w:tcPr>
          <w:p>
            <w:pPr>
              <w:pStyle w:val="TableContents"/>
              <w:bidi w:val="0"/>
              <w:spacing w:before="0" w:after="283"/>
              <w:jc w:val="left"/>
              <w:rPr/>
            </w:pPr>
            <w:r>
              <w:rPr/>
              <w:t>MONTAUK RENEWABLES,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58" w:type="dxa"/>
            <w:gridSpan w:val="2"/>
            <w:tcBorders/>
            <w:vAlign w:val="center"/>
          </w:tcPr>
          <w:p>
            <w:pPr>
              <w:pStyle w:val="TableContents"/>
              <w:bidi w:val="0"/>
              <w:spacing w:before="0" w:after="283"/>
              <w:jc w:val="left"/>
              <w:rPr>
                <w:sz w:val="4"/>
                <w:szCs w:val="4"/>
              </w:rPr>
            </w:pPr>
            <w:r>
              <w:rPr>
                <w:sz w:val="4"/>
                <w:szCs w:val="4"/>
              </w:rPr>
            </w:r>
          </w:p>
        </w:tc>
        <w:tc>
          <w:tcPr>
            <w:tcW w:w="280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Dated: August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By:</w:t>
            </w:r>
          </w:p>
        </w:tc>
        <w:tc>
          <w:tcPr>
            <w:tcW w:w="73" w:type="dxa"/>
            <w:tcBorders/>
            <w:vAlign w:val="center"/>
          </w:tcPr>
          <w:p>
            <w:pPr>
              <w:pStyle w:val="TableContents"/>
              <w:bidi w:val="0"/>
              <w:spacing w:before="0" w:after="283"/>
              <w:jc w:val="left"/>
              <w:rPr/>
            </w:pPr>
            <w:r>
              <w:rPr/>
              <w:t> </w:t>
            </w:r>
          </w:p>
        </w:tc>
        <w:tc>
          <w:tcPr>
            <w:tcW w:w="2732"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A. Van Asdalan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Name:</w:t>
            </w:r>
          </w:p>
        </w:tc>
        <w:tc>
          <w:tcPr>
            <w:tcW w:w="73" w:type="dxa"/>
            <w:tcBorders/>
            <w:vAlign w:val="center"/>
          </w:tcPr>
          <w:p>
            <w:pPr>
              <w:pStyle w:val="TableContents"/>
              <w:bidi w:val="0"/>
              <w:spacing w:before="0" w:after="283"/>
              <w:jc w:val="left"/>
              <w:rPr/>
            </w:pPr>
            <w:r>
              <w:rPr/>
              <w:t> </w:t>
            </w:r>
          </w:p>
        </w:tc>
        <w:tc>
          <w:tcPr>
            <w:tcW w:w="2732" w:type="dxa"/>
            <w:tcBorders/>
            <w:vAlign w:val="center"/>
          </w:tcPr>
          <w:p>
            <w:pPr>
              <w:pStyle w:val="TableContents"/>
              <w:bidi w:val="0"/>
              <w:spacing w:before="0" w:after="283"/>
              <w:jc w:val="left"/>
              <w:rPr/>
            </w:pPr>
            <w:r>
              <w:rPr/>
              <w:t>Kevin A. Van Asdalan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Title:</w:t>
            </w:r>
          </w:p>
        </w:tc>
        <w:tc>
          <w:tcPr>
            <w:tcW w:w="73" w:type="dxa"/>
            <w:tcBorders/>
            <w:vAlign w:val="center"/>
          </w:tcPr>
          <w:p>
            <w:pPr>
              <w:pStyle w:val="TableContents"/>
              <w:bidi w:val="0"/>
              <w:spacing w:before="0" w:after="283"/>
              <w:jc w:val="left"/>
              <w:rPr/>
            </w:pPr>
            <w:r>
              <w:rPr/>
              <w:t> </w:t>
            </w:r>
          </w:p>
        </w:tc>
        <w:tc>
          <w:tcPr>
            <w:tcW w:w="2732"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85806dex991.htm"/>
      <w:bookmarkStart w:id="3" w:name="ksd85806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MONTAUK RENEWABLES, INC. </w:t>
      </w:r>
    </w:p>
    <w:p>
      <w:pPr>
        <w:pStyle w:val="TextBody"/>
        <w:bidi w:val="0"/>
        <w:spacing w:before="0" w:after="0"/>
        <w:jc w:val="left"/>
        <w:rPr>
          <w:rFonts w:ascii="Times New Roman" w:hAnsi="Times New Roman"/>
          <w:sz w:val="20"/>
        </w:rPr>
      </w:pPr>
      <w:r>
        <w:rPr>
          <w:rFonts w:ascii="Times New Roman" w:hAnsi="Times New Roman"/>
          <w:sz w:val="20"/>
        </w:rPr>
        <w:t xml:space="preserve">Incorporated in the United States of America </w:t>
      </w:r>
    </w:p>
    <w:p>
      <w:pPr>
        <w:pStyle w:val="TextBody"/>
        <w:bidi w:val="0"/>
        <w:spacing w:before="0" w:after="0"/>
        <w:jc w:val="left"/>
        <w:rPr>
          <w:rFonts w:ascii="Times New Roman" w:hAnsi="Times New Roman"/>
          <w:sz w:val="20"/>
        </w:rPr>
      </w:pPr>
      <w:r>
        <w:rPr>
          <w:rFonts w:ascii="Times New Roman" w:hAnsi="Times New Roman"/>
          <w:sz w:val="20"/>
        </w:rPr>
        <w:t xml:space="preserve">Company number: 85-3189583 </w:t>
      </w:r>
    </w:p>
    <w:p>
      <w:pPr>
        <w:pStyle w:val="TextBody"/>
        <w:bidi w:val="0"/>
        <w:spacing w:before="0" w:after="0"/>
        <w:jc w:val="left"/>
        <w:rPr>
          <w:rFonts w:ascii="Times New Roman" w:hAnsi="Times New Roman"/>
          <w:sz w:val="20"/>
        </w:rPr>
      </w:pPr>
      <w:r>
        <w:rPr>
          <w:rFonts w:ascii="Times New Roman" w:hAnsi="Times New Roman"/>
          <w:sz w:val="20"/>
        </w:rPr>
        <w:t xml:space="preserve">NASDAQ share code: MNTK </w:t>
      </w:r>
    </w:p>
    <w:p>
      <w:pPr>
        <w:pStyle w:val="TextBody"/>
        <w:bidi w:val="0"/>
        <w:spacing w:before="0" w:after="0"/>
        <w:jc w:val="left"/>
        <w:rPr>
          <w:rFonts w:ascii="Times New Roman" w:hAnsi="Times New Roman"/>
          <w:sz w:val="20"/>
        </w:rPr>
      </w:pPr>
      <w:r>
        <w:rPr>
          <w:rFonts w:ascii="Times New Roman" w:hAnsi="Times New Roman"/>
          <w:sz w:val="20"/>
        </w:rPr>
        <w:t xml:space="preserve">JSE share code: MKR </w:t>
      </w:r>
    </w:p>
    <w:p>
      <w:pPr>
        <w:pStyle w:val="TextBody"/>
        <w:bidi w:val="0"/>
        <w:spacing w:before="0" w:after="0"/>
        <w:jc w:val="left"/>
        <w:rPr>
          <w:rFonts w:ascii="Times New Roman" w:hAnsi="Times New Roman"/>
          <w:sz w:val="20"/>
        </w:rPr>
      </w:pPr>
      <w:r>
        <w:rPr>
          <w:rFonts w:ascii="Times New Roman" w:hAnsi="Times New Roman"/>
          <w:sz w:val="20"/>
        </w:rPr>
        <w:t xml:space="preserve">ISIN: US61218C1036 </w:t>
      </w:r>
    </w:p>
    <w:p>
      <w:pPr>
        <w:pStyle w:val="TextBody"/>
        <w:bidi w:val="0"/>
        <w:spacing w:before="0" w:after="0"/>
        <w:jc w:val="left"/>
        <w:rPr>
          <w:rFonts w:ascii="Times New Roman" w:hAnsi="Times New Roman"/>
          <w:sz w:val="20"/>
        </w:rPr>
      </w:pPr>
      <w:r>
        <w:rPr>
          <w:rFonts w:ascii="Times New Roman" w:hAnsi="Times New Roman"/>
          <w:sz w:val="20"/>
        </w:rPr>
        <w:t xml:space="preserve">(“Montauk Renewables” or the “Company”) </w:t>
      </w:r>
    </w:p>
    <w:p>
      <w:pPr>
        <w:pStyle w:val="TextBody"/>
        <w:bidi w:val="0"/>
        <w:spacing w:before="240" w:after="0"/>
        <w:jc w:val="left"/>
        <w:rPr>
          <w:rFonts w:ascii="Times New Roman" w:hAnsi="Times New Roman"/>
          <w:sz w:val="20"/>
        </w:rPr>
      </w:pPr>
      <w:r>
        <w:rPr>
          <w:rFonts w:ascii="Times New Roman" w:hAnsi="Times New Roman"/>
          <w:sz w:val="20"/>
        </w:rPr>
        <w:t xml:space="preserve">UNAUDITED CONSOLIDATED RESULTS </w:t>
      </w:r>
    </w:p>
    <w:p>
      <w:pPr>
        <w:pStyle w:val="TextBody"/>
        <w:bidi w:val="0"/>
        <w:spacing w:before="0" w:after="0"/>
        <w:jc w:val="left"/>
        <w:rPr>
          <w:rFonts w:ascii="Times New Roman" w:hAnsi="Times New Roman"/>
          <w:sz w:val="20"/>
        </w:rPr>
      </w:pPr>
      <w:r>
        <w:rPr>
          <w:rFonts w:ascii="Times New Roman" w:hAnsi="Times New Roman"/>
          <w:sz w:val="20"/>
        </w:rPr>
        <w:t xml:space="preserve">For the six months ended 30 June 2026 </w:t>
      </w:r>
    </w:p>
    <w:p>
      <w:pPr>
        <w:pStyle w:val="TextBody"/>
        <w:bidi w:val="0"/>
        <w:spacing w:before="240" w:after="0"/>
        <w:jc w:val="left"/>
        <w:rPr>
          <w:rFonts w:ascii="Times New Roman" w:hAnsi="Times New Roman"/>
          <w:sz w:val="20"/>
        </w:rPr>
      </w:pPr>
      <w:r>
        <w:rPr>
          <w:rFonts w:ascii="Times New Roman" w:hAnsi="Times New Roman"/>
          <w:sz w:val="20"/>
        </w:rPr>
        <w:t xml:space="preserve">Dollar amounts presented herein are in United States Dollars </w:t>
      </w:r>
    </w:p>
    <w:p>
      <w:pPr>
        <w:pStyle w:val="TextBody"/>
        <w:bidi w:val="0"/>
        <w:spacing w:before="240" w:after="0"/>
        <w:jc w:val="left"/>
        <w:rPr>
          <w:rFonts w:ascii="Times New Roman" w:hAnsi="Times New Roman"/>
          <w:sz w:val="20"/>
        </w:rPr>
      </w:pPr>
      <w:r>
        <w:rPr>
          <w:rFonts w:ascii="Times New Roman" w:hAnsi="Times New Roman"/>
          <w:sz w:val="20"/>
        </w:rPr>
        <w:t xml:space="preserve">SALIENT FEATURES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08"/>
        <w:gridCol w:w="343"/>
        <w:gridCol w:w="215"/>
        <w:gridCol w:w="456"/>
        <w:gridCol w:w="155"/>
        <w:gridCol w:w="304"/>
        <w:gridCol w:w="74"/>
        <w:gridCol w:w="1016"/>
        <w:gridCol w:w="60"/>
        <w:gridCol w:w="343"/>
        <w:gridCol w:w="118"/>
        <w:gridCol w:w="1359"/>
        <w:gridCol w:w="155"/>
        <w:gridCol w:w="304"/>
        <w:gridCol w:w="142"/>
        <w:gridCol w:w="953"/>
        <w:gridCol w:w="283"/>
      </w:tblGrid>
      <w:tr>
        <w:trPr/>
        <w:tc>
          <w:tcPr>
            <w:tcW w:w="3108"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108"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67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090"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2026</w:t>
            </w:r>
          </w:p>
          <w:p>
            <w:pPr>
              <w:pStyle w:val="TableContents"/>
              <w:bidi w:val="0"/>
              <w:spacing w:before="0" w:after="20"/>
              <w:jc w:val="center"/>
              <w:rPr>
                <w:rFonts w:ascii="Times New Roman" w:hAnsi="Times New Roman"/>
                <w:sz w:val="16"/>
              </w:rPr>
            </w:pPr>
            <w:r>
              <w:rPr>
                <w:rFonts w:ascii="Times New Roman" w:hAnsi="Times New Roman"/>
                <w:sz w:val="16"/>
              </w:rPr>
              <w:t>Six months</w:t>
              <w:br/>
              <w:t>Ended 30 June</w:t>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77" w:type="dxa"/>
            <w:gridSpan w:val="2"/>
            <w:tcBorders/>
            <w:vAlign w:val="bottom"/>
          </w:tcPr>
          <w:p>
            <w:pPr>
              <w:pStyle w:val="TableContents"/>
              <w:bidi w:val="0"/>
              <w:spacing w:before="0" w:after="283"/>
              <w:jc w:val="center"/>
              <w:rPr/>
            </w:pPr>
            <w:r>
              <w:rPr/>
              <w:t>2025</w:t>
              <w:br/>
              <w:t>Six months</w:t>
              <w:br/>
              <w:t>Ended 30 June</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095" w:type="dxa"/>
            <w:gridSpan w:val="2"/>
            <w:tcBorders/>
            <w:vAlign w:val="bottom"/>
          </w:tcPr>
          <w:p>
            <w:pPr>
              <w:pStyle w:val="TableContents"/>
              <w:bidi w:val="0"/>
              <w:spacing w:before="0" w:after="283"/>
              <w:jc w:val="center"/>
              <w:rPr/>
            </w:pPr>
            <w:r>
              <w:rPr/>
              <w:t>Percentage</w:t>
              <w:br/>
              <w:t>change</w:t>
            </w:r>
          </w:p>
        </w:tc>
        <w:tc>
          <w:tcPr>
            <w:tcW w:w="283" w:type="dxa"/>
            <w:tcBorders/>
            <w:vAlign w:val="bottom"/>
          </w:tcPr>
          <w:p>
            <w:pPr>
              <w:pStyle w:val="TableContents"/>
              <w:bidi w:val="0"/>
              <w:spacing w:before="0" w:after="283"/>
              <w:jc w:val="left"/>
              <w:rPr/>
            </w:pPr>
            <w:r>
              <w:rPr/>
              <w:t> </w:t>
            </w:r>
          </w:p>
        </w:tc>
      </w:tr>
      <w:tr>
        <w:trPr/>
        <w:tc>
          <w:tcPr>
            <w:tcW w:w="3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4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56" w:type="dxa"/>
            <w:tcBorders/>
            <w:shd w:fill="CCEEFF" w:val="clear"/>
            <w:vAlign w:val="bottom"/>
          </w:tcPr>
          <w:p>
            <w:pPr>
              <w:pStyle w:val="TableContents"/>
              <w:bidi w:val="0"/>
              <w:spacing w:before="0" w:after="283"/>
              <w:jc w:val="right"/>
              <w:rPr/>
            </w:pPr>
            <w:r>
              <w:rPr/>
              <w:t>‘</w:t>
            </w:r>
            <w:r>
              <w:rPr/>
              <w:t>000</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100 447</w:t>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87 730</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14</w:t>
            </w:r>
          </w:p>
        </w:tc>
        <w:tc>
          <w:tcPr>
            <w:tcW w:w="283" w:type="dxa"/>
            <w:tcBorders/>
            <w:shd w:fill="CCEEFF" w:val="clear"/>
            <w:vAlign w:val="bottom"/>
          </w:tcPr>
          <w:p>
            <w:pPr>
              <w:pStyle w:val="TableContents"/>
              <w:bidi w:val="0"/>
              <w:spacing w:before="0" w:after="283"/>
              <w:jc w:val="left"/>
              <w:rPr/>
            </w:pPr>
            <w:r>
              <w:rPr/>
              <w:t>% </w:t>
            </w:r>
          </w:p>
        </w:tc>
      </w:tr>
      <w:tr>
        <w:trPr/>
        <w:tc>
          <w:tcPr>
            <w:tcW w:w="3108"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343"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56" w:type="dxa"/>
            <w:tcBorders/>
            <w:vAlign w:val="bottom"/>
          </w:tcPr>
          <w:p>
            <w:pPr>
              <w:pStyle w:val="TableContents"/>
              <w:bidi w:val="0"/>
              <w:spacing w:before="0" w:after="283"/>
              <w:jc w:val="right"/>
              <w:rPr/>
            </w:pPr>
            <w:r>
              <w:rPr/>
              <w:t>‘</w:t>
            </w:r>
            <w:r>
              <w:rPr/>
              <w:t>000</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21 066</w:t>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11 360</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85</w:t>
            </w:r>
          </w:p>
        </w:tc>
        <w:tc>
          <w:tcPr>
            <w:tcW w:w="283" w:type="dxa"/>
            <w:tcBorders/>
            <w:vAlign w:val="bottom"/>
          </w:tcPr>
          <w:p>
            <w:pPr>
              <w:pStyle w:val="TableContents"/>
              <w:bidi w:val="0"/>
              <w:spacing w:before="0" w:after="283"/>
              <w:jc w:val="left"/>
              <w:rPr/>
            </w:pPr>
            <w:r>
              <w:rPr/>
              <w:t>% </w:t>
            </w:r>
          </w:p>
        </w:tc>
      </w:tr>
      <w:tr>
        <w:trPr/>
        <w:tc>
          <w:tcPr>
            <w:tcW w:w="3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Headline earnings/(loss)</w:t>
            </w:r>
          </w:p>
        </w:tc>
        <w:tc>
          <w:tcPr>
            <w:tcW w:w="34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56" w:type="dxa"/>
            <w:tcBorders/>
            <w:shd w:fill="CCEEFF" w:val="clear"/>
            <w:vAlign w:val="bottom"/>
          </w:tcPr>
          <w:p>
            <w:pPr>
              <w:pStyle w:val="TableContents"/>
              <w:bidi w:val="0"/>
              <w:spacing w:before="0" w:after="283"/>
              <w:jc w:val="right"/>
              <w:rPr/>
            </w:pPr>
            <w:r>
              <w:rPr/>
              <w:t>‘</w:t>
            </w:r>
            <w:r>
              <w:rPr/>
              <w:t>000</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1 084</w:t>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(4 008</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127</w:t>
            </w:r>
          </w:p>
        </w:tc>
        <w:tc>
          <w:tcPr>
            <w:tcW w:w="283" w:type="dxa"/>
            <w:tcBorders/>
            <w:shd w:fill="CCEEFF" w:val="clear"/>
            <w:vAlign w:val="bottom"/>
          </w:tcPr>
          <w:p>
            <w:pPr>
              <w:pStyle w:val="TableContents"/>
              <w:bidi w:val="0"/>
              <w:spacing w:before="0" w:after="283"/>
              <w:jc w:val="left"/>
              <w:rPr/>
            </w:pPr>
            <w:r>
              <w:rPr/>
              <w:t>% </w:t>
            </w:r>
          </w:p>
        </w:tc>
      </w:tr>
      <w:tr>
        <w:trPr/>
        <w:tc>
          <w:tcPr>
            <w:tcW w:w="3108" w:type="dxa"/>
            <w:tcBorders/>
          </w:tcPr>
          <w:p>
            <w:pPr>
              <w:pStyle w:val="TableContents"/>
              <w:bidi w:val="0"/>
              <w:spacing w:before="0" w:after="0"/>
              <w:jc w:val="left"/>
              <w:rPr>
                <w:rFonts w:ascii="Times New Roman" w:hAnsi="Times New Roman"/>
                <w:sz w:val="20"/>
              </w:rPr>
            </w:pPr>
            <w:r>
              <w:rPr>
                <w:rFonts w:ascii="Times New Roman" w:hAnsi="Times New Roman"/>
                <w:sz w:val="20"/>
              </w:rPr>
              <w:t>Earnings/(loss) per share</w:t>
            </w:r>
          </w:p>
        </w:tc>
        <w:tc>
          <w:tcPr>
            <w:tcW w:w="343"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0.00</w:t>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(0.04</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100</w:t>
            </w:r>
          </w:p>
        </w:tc>
        <w:tc>
          <w:tcPr>
            <w:tcW w:w="283" w:type="dxa"/>
            <w:tcBorders/>
            <w:vAlign w:val="bottom"/>
          </w:tcPr>
          <w:p>
            <w:pPr>
              <w:pStyle w:val="TableContents"/>
              <w:bidi w:val="0"/>
              <w:spacing w:before="0" w:after="283"/>
              <w:jc w:val="left"/>
              <w:rPr/>
            </w:pPr>
            <w:r>
              <w:rPr/>
              <w:t>% </w:t>
            </w:r>
          </w:p>
        </w:tc>
      </w:tr>
      <w:tr>
        <w:trPr/>
        <w:tc>
          <w:tcPr>
            <w:tcW w:w="3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Headline earnings/(loss) per common share</w:t>
            </w:r>
          </w:p>
        </w:tc>
        <w:tc>
          <w:tcPr>
            <w:tcW w:w="34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4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0.01</w:t>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(0.03</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133</w:t>
            </w:r>
          </w:p>
        </w:tc>
        <w:tc>
          <w:tcPr>
            <w:tcW w:w="283" w:type="dxa"/>
            <w:tcBorders/>
            <w:shd w:fill="CCEEFF" w:val="clear"/>
            <w:vAlign w:val="bottom"/>
          </w:tcPr>
          <w:p>
            <w:pPr>
              <w:pStyle w:val="TableContents"/>
              <w:bidi w:val="0"/>
              <w:spacing w:before="0" w:after="283"/>
              <w:jc w:val="left"/>
              <w:rPr/>
            </w:pPr>
            <w:r>
              <w:rPr/>
              <w:t>% </w:t>
            </w:r>
          </w:p>
        </w:tc>
      </w:tr>
      <w:tr>
        <w:trPr/>
        <w:tc>
          <w:tcPr>
            <w:tcW w:w="3108" w:type="dxa"/>
            <w:tcBorders/>
          </w:tcPr>
          <w:p>
            <w:pPr>
              <w:pStyle w:val="TableContents"/>
              <w:bidi w:val="0"/>
              <w:spacing w:before="0" w:after="0"/>
              <w:jc w:val="left"/>
              <w:rPr>
                <w:rFonts w:ascii="Times New Roman" w:hAnsi="Times New Roman"/>
                <w:sz w:val="20"/>
              </w:rPr>
            </w:pPr>
            <w:r>
              <w:rPr>
                <w:rFonts w:ascii="Times New Roman" w:hAnsi="Times New Roman"/>
                <w:sz w:val="20"/>
              </w:rPr>
              <w:t>Net asset value per common share</w:t>
            </w:r>
          </w:p>
        </w:tc>
        <w:tc>
          <w:tcPr>
            <w:tcW w:w="343"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4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1.85</w:t>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1.78</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4</w:t>
            </w:r>
          </w:p>
        </w:tc>
        <w:tc>
          <w:tcPr>
            <w:tcW w:w="28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DECLARATION OF CASH DIVIDEND </w:t>
      </w:r>
    </w:p>
    <w:p>
      <w:pPr>
        <w:pStyle w:val="TextBody"/>
        <w:bidi w:val="0"/>
        <w:spacing w:before="240" w:after="0"/>
        <w:jc w:val="left"/>
        <w:rPr>
          <w:rFonts w:ascii="Times New Roman" w:hAnsi="Times New Roman"/>
          <w:sz w:val="20"/>
        </w:rPr>
      </w:pPr>
      <w:r>
        <w:rPr>
          <w:rFonts w:ascii="Times New Roman" w:hAnsi="Times New Roman"/>
          <w:sz w:val="20"/>
        </w:rPr>
        <w:t xml:space="preserve">The directors have resolved not to declare a final dividend to focus financial resources on the continued development of the Company’s operations portfolio. </w:t>
      </w:r>
    </w:p>
    <w:p>
      <w:pPr>
        <w:pStyle w:val="TextBody"/>
        <w:bidi w:val="0"/>
        <w:spacing w:before="240" w:after="0"/>
        <w:jc w:val="left"/>
        <w:rPr>
          <w:rFonts w:ascii="Times New Roman" w:hAnsi="Times New Roman"/>
          <w:sz w:val="20"/>
        </w:rPr>
      </w:pPr>
      <w:r>
        <w:rPr>
          <w:rFonts w:ascii="Times New Roman" w:hAnsi="Times New Roman"/>
          <w:sz w:val="20"/>
        </w:rPr>
        <w:t xml:space="preserve">USE OF NON-GAAP MEASURES </w:t>
      </w:r>
    </w:p>
    <w:p>
      <w:pPr>
        <w:pStyle w:val="TextBody"/>
        <w:bidi w:val="0"/>
        <w:spacing w:before="240" w:after="0"/>
        <w:jc w:val="left"/>
        <w:rPr>
          <w:rFonts w:ascii="Times New Roman" w:hAnsi="Times New Roman"/>
          <w:sz w:val="20"/>
        </w:rPr>
      </w:pPr>
      <w:r>
        <w:rPr>
          <w:rFonts w:ascii="Times New Roman" w:hAnsi="Times New Roman"/>
          <w:sz w:val="20"/>
        </w:rPr>
        <w:t xml:space="preserve">This report was prepared for the purpose of complying with the reporting requirements of the Johannesburg Stock Exchange and includes certain non-GAAP measures, such as headline earnings and headline earnings per common share, and related reconciliations. </w:t>
      </w:r>
    </w:p>
    <w:p>
      <w:pPr>
        <w:pStyle w:val="TextBody"/>
        <w:bidi w:val="0"/>
        <w:spacing w:before="240" w:after="0"/>
        <w:jc w:val="left"/>
        <w:rPr>
          <w:rFonts w:ascii="Times New Roman" w:hAnsi="Times New Roman"/>
          <w:sz w:val="20"/>
        </w:rPr>
      </w:pPr>
      <w:r>
        <w:rPr>
          <w:rFonts w:ascii="Times New Roman" w:hAnsi="Times New Roman"/>
          <w:sz w:val="20"/>
        </w:rPr>
        <w:t xml:space="preserve">Reconciliation of headline earnings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81"/>
        <w:gridCol w:w="247"/>
        <w:gridCol w:w="118"/>
        <w:gridCol w:w="1083"/>
        <w:gridCol w:w="155"/>
        <w:gridCol w:w="211"/>
        <w:gridCol w:w="69"/>
        <w:gridCol w:w="911"/>
        <w:gridCol w:w="155"/>
        <w:gridCol w:w="211"/>
        <w:gridCol w:w="118"/>
        <w:gridCol w:w="1083"/>
        <w:gridCol w:w="60"/>
        <w:gridCol w:w="247"/>
        <w:gridCol w:w="69"/>
        <w:gridCol w:w="911"/>
        <w:gridCol w:w="159"/>
      </w:tblGrid>
      <w:tr>
        <w:trPr/>
        <w:tc>
          <w:tcPr>
            <w:tcW w:w="3581"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547" w:type="dxa"/>
            <w:gridSpan w:val="6"/>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2026</w:t>
            </w:r>
          </w:p>
          <w:p>
            <w:pPr>
              <w:pStyle w:val="TableContents"/>
              <w:bidi w:val="0"/>
              <w:spacing w:before="0" w:after="0"/>
              <w:jc w:val="center"/>
              <w:rPr>
                <w:rFonts w:ascii="Times New Roman" w:hAnsi="Times New Roman"/>
                <w:sz w:val="16"/>
              </w:rPr>
            </w:pPr>
            <w:r>
              <w:rPr>
                <w:rFonts w:ascii="Times New Roman" w:hAnsi="Times New Roman"/>
                <w:sz w:val="16"/>
              </w:rPr>
              <w:t>Six months</w:t>
            </w:r>
          </w:p>
          <w:p>
            <w:pPr>
              <w:pStyle w:val="TableContents"/>
              <w:bidi w:val="0"/>
              <w:spacing w:before="0" w:after="20"/>
              <w:jc w:val="center"/>
              <w:rPr>
                <w:rFonts w:ascii="Times New Roman" w:hAnsi="Times New Roman"/>
                <w:sz w:val="16"/>
              </w:rPr>
            </w:pPr>
            <w:r>
              <w:rPr>
                <w:rFonts w:ascii="Times New Roman" w:hAnsi="Times New Roman"/>
                <w:sz w:val="16"/>
              </w:rPr>
              <w:t>Ended 30 June</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488" w:type="dxa"/>
            <w:gridSpan w:val="6"/>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2025</w:t>
            </w:r>
          </w:p>
          <w:p>
            <w:pPr>
              <w:pStyle w:val="TableContents"/>
              <w:bidi w:val="0"/>
              <w:spacing w:before="0" w:after="0"/>
              <w:jc w:val="center"/>
              <w:rPr>
                <w:rFonts w:ascii="Times New Roman" w:hAnsi="Times New Roman"/>
                <w:sz w:val="16"/>
              </w:rPr>
            </w:pPr>
            <w:r>
              <w:rPr>
                <w:rFonts w:ascii="Times New Roman" w:hAnsi="Times New Roman"/>
                <w:sz w:val="16"/>
              </w:rPr>
              <w:t>Six months</w:t>
            </w:r>
          </w:p>
          <w:p>
            <w:pPr>
              <w:pStyle w:val="TableContents"/>
              <w:bidi w:val="0"/>
              <w:spacing w:before="0" w:after="20"/>
              <w:jc w:val="center"/>
              <w:rPr>
                <w:rFonts w:ascii="Times New Roman" w:hAnsi="Times New Roman"/>
                <w:sz w:val="16"/>
              </w:rPr>
            </w:pPr>
            <w:r>
              <w:rPr>
                <w:rFonts w:ascii="Times New Roman" w:hAnsi="Times New Roman"/>
                <w:sz w:val="16"/>
              </w:rPr>
              <w:t>Ended 30 June</w:t>
            </w:r>
          </w:p>
        </w:tc>
        <w:tc>
          <w:tcPr>
            <w:tcW w:w="159" w:type="dxa"/>
            <w:tcBorders/>
            <w:vAlign w:val="bottom"/>
          </w:tcPr>
          <w:p>
            <w:pPr>
              <w:pStyle w:val="TableContents"/>
              <w:bidi w:val="0"/>
              <w:spacing w:before="0" w:after="283"/>
              <w:jc w:val="left"/>
              <w:rPr/>
            </w:pPr>
            <w:r>
              <w:rPr/>
              <w:t> </w:t>
            </w:r>
          </w:p>
        </w:tc>
      </w:tr>
      <w:tr>
        <w:trPr/>
        <w:tc>
          <w:tcPr>
            <w:tcW w:w="358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bidi w:val="0"/>
              <w:spacing w:before="0" w:after="283"/>
              <w:jc w:val="center"/>
              <w:rPr/>
            </w:pPr>
            <w:r>
              <w:rPr/>
              <w:t>Gross $‘000</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center"/>
              <w:rPr/>
            </w:pPr>
            <w:r>
              <w:rPr/>
              <w:t>Net $‘000</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bidi w:val="0"/>
              <w:spacing w:before="0" w:after="283"/>
              <w:jc w:val="center"/>
              <w:rPr/>
            </w:pPr>
            <w:r>
              <w:rPr/>
              <w:t>Gross $‘000</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center"/>
              <w:rPr/>
            </w:pPr>
            <w:r>
              <w:rPr/>
              <w:t>Net $‘000</w:t>
            </w:r>
          </w:p>
        </w:tc>
        <w:tc>
          <w:tcPr>
            <w:tcW w:w="159" w:type="dxa"/>
            <w:tcBorders/>
            <w:vAlign w:val="bottom"/>
          </w:tcPr>
          <w:p>
            <w:pPr>
              <w:pStyle w:val="TableContents"/>
              <w:bidi w:val="0"/>
              <w:spacing w:before="0" w:after="283"/>
              <w:jc w:val="left"/>
              <w:rPr/>
            </w:pPr>
            <w:r>
              <w:rPr/>
              <w:t> </w:t>
            </w:r>
          </w:p>
        </w:tc>
      </w:tr>
      <w:tr>
        <w:trPr/>
        <w:tc>
          <w:tcPr>
            <w:tcW w:w="35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income/(loss) attributable to common shareholders</w:t>
            </w:r>
          </w:p>
        </w:tc>
        <w:tc>
          <w:tcPr>
            <w:tcW w:w="24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231</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(5 951</w:t>
            </w:r>
          </w:p>
        </w:tc>
        <w:tc>
          <w:tcPr>
            <w:tcW w:w="159" w:type="dxa"/>
            <w:tcBorders/>
            <w:shd w:fill="CCEEFF" w:val="clear"/>
            <w:vAlign w:val="bottom"/>
          </w:tcPr>
          <w:p>
            <w:pPr>
              <w:pStyle w:val="TableContents"/>
              <w:bidi w:val="0"/>
              <w:spacing w:before="0" w:after="283"/>
              <w:jc w:val="left"/>
              <w:rPr/>
            </w:pPr>
            <w:r>
              <w:rPr/>
              <w:t>) </w:t>
            </w:r>
          </w:p>
        </w:tc>
      </w:tr>
      <w:tr>
        <w:trPr/>
        <w:tc>
          <w:tcPr>
            <w:tcW w:w="3581" w:type="dxa"/>
            <w:tcBorders/>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24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1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5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on disposal of plant and Equipment</w:t>
            </w:r>
          </w:p>
        </w:tc>
        <w:tc>
          <w:tcPr>
            <w:tcW w:w="24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28</w:t>
            </w:r>
          </w:p>
        </w:tc>
        <w:tc>
          <w:tcPr>
            <w:tcW w:w="159" w:type="dxa"/>
            <w:tcBorders/>
            <w:shd w:fill="CCEEFF" w:val="clear"/>
            <w:vAlign w:val="bottom"/>
          </w:tcPr>
          <w:p>
            <w:pPr>
              <w:pStyle w:val="TableContents"/>
              <w:bidi w:val="0"/>
              <w:spacing w:before="0" w:after="283"/>
              <w:jc w:val="left"/>
              <w:rPr/>
            </w:pPr>
            <w:r>
              <w:rPr/>
              <w:t> </w:t>
            </w:r>
          </w:p>
        </w:tc>
      </w:tr>
      <w:tr>
        <w:trPr/>
        <w:tc>
          <w:tcPr>
            <w:tcW w:w="3581"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plant and equipment</w:t>
            </w:r>
          </w:p>
        </w:tc>
        <w:tc>
          <w:tcPr>
            <w:tcW w:w="24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1 093</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863</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2 424</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1 915</w:t>
            </w:r>
          </w:p>
        </w:tc>
        <w:tc>
          <w:tcPr>
            <w:tcW w:w="159" w:type="dxa"/>
            <w:tcBorders/>
            <w:vAlign w:val="bottom"/>
          </w:tcPr>
          <w:p>
            <w:pPr>
              <w:pStyle w:val="TableContents"/>
              <w:bidi w:val="0"/>
              <w:spacing w:before="0" w:after="283"/>
              <w:jc w:val="left"/>
              <w:rPr/>
            </w:pPr>
            <w:r>
              <w:rPr/>
              <w:t> </w:t>
            </w:r>
          </w:p>
        </w:tc>
      </w:tr>
      <w:tr>
        <w:trPr/>
        <w:tc>
          <w:tcPr>
            <w:tcW w:w="35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Headline earnings/(loss)</w:t>
            </w:r>
          </w:p>
        </w:tc>
        <w:tc>
          <w:tcPr>
            <w:tcW w:w="24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1 084</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(4 008</w:t>
            </w:r>
          </w:p>
        </w:tc>
        <w:tc>
          <w:tcPr>
            <w:tcW w:w="159" w:type="dxa"/>
            <w:tcBorders/>
            <w:shd w:fill="CCEEFF" w:val="clear"/>
            <w:vAlign w:val="bottom"/>
          </w:tcPr>
          <w:p>
            <w:pPr>
              <w:pStyle w:val="TableContents"/>
              <w:bidi w:val="0"/>
              <w:spacing w:before="0" w:after="283"/>
              <w:jc w:val="left"/>
              <w:rPr/>
            </w:pPr>
            <w:r>
              <w:rPr/>
              <w:t>) </w:t>
            </w:r>
          </w:p>
        </w:tc>
      </w:tr>
      <w:tr>
        <w:trPr/>
        <w:tc>
          <w:tcPr>
            <w:tcW w:w="3581" w:type="dxa"/>
            <w:tcBorders/>
          </w:tcPr>
          <w:p>
            <w:pPr>
              <w:pStyle w:val="TableContents"/>
              <w:bidi w:val="0"/>
              <w:spacing w:before="0" w:after="0"/>
              <w:jc w:val="left"/>
              <w:rPr>
                <w:rFonts w:ascii="Times New Roman" w:hAnsi="Times New Roman"/>
                <w:sz w:val="20"/>
              </w:rPr>
            </w:pPr>
            <w:r>
              <w:rPr>
                <w:rFonts w:ascii="Times New Roman" w:hAnsi="Times New Roman"/>
                <w:sz w:val="20"/>
              </w:rPr>
              <w:t>Basic and headline earnings/(loss) per common share (US Dollars)</w:t>
            </w:r>
          </w:p>
        </w:tc>
        <w:tc>
          <w:tcPr>
            <w:tcW w:w="24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1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5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Earnings/(loss)</w:t>
            </w:r>
          </w:p>
        </w:tc>
        <w:tc>
          <w:tcPr>
            <w:tcW w:w="24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0.00</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(0.04</w:t>
            </w:r>
          </w:p>
        </w:tc>
        <w:tc>
          <w:tcPr>
            <w:tcW w:w="159" w:type="dxa"/>
            <w:tcBorders/>
            <w:shd w:fill="CCEEFF" w:val="clear"/>
            <w:vAlign w:val="bottom"/>
          </w:tcPr>
          <w:p>
            <w:pPr>
              <w:pStyle w:val="TableContents"/>
              <w:bidi w:val="0"/>
              <w:spacing w:before="0" w:after="283"/>
              <w:jc w:val="left"/>
              <w:rPr/>
            </w:pPr>
            <w:r>
              <w:rPr/>
              <w:t>) </w:t>
            </w:r>
          </w:p>
        </w:tc>
      </w:tr>
      <w:tr>
        <w:trPr/>
        <w:tc>
          <w:tcPr>
            <w:tcW w:w="3581" w:type="dxa"/>
            <w:tcBorders/>
          </w:tcPr>
          <w:p>
            <w:pPr>
              <w:pStyle w:val="TableContents"/>
              <w:bidi w:val="0"/>
              <w:spacing w:before="0" w:after="0"/>
              <w:jc w:val="left"/>
              <w:rPr>
                <w:rFonts w:ascii="Times New Roman" w:hAnsi="Times New Roman"/>
                <w:sz w:val="20"/>
              </w:rPr>
            </w:pPr>
            <w:r>
              <w:rPr>
                <w:rFonts w:ascii="Times New Roman" w:hAnsi="Times New Roman"/>
                <w:sz w:val="20"/>
              </w:rPr>
              <w:t>Headline earnings/(loss)</w:t>
            </w:r>
          </w:p>
        </w:tc>
        <w:tc>
          <w:tcPr>
            <w:tcW w:w="24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(0.03</w:t>
            </w:r>
          </w:p>
        </w:tc>
        <w:tc>
          <w:tcPr>
            <w:tcW w:w="159" w:type="dxa"/>
            <w:tcBorders/>
            <w:vAlign w:val="bottom"/>
          </w:tcPr>
          <w:p>
            <w:pPr>
              <w:pStyle w:val="TableContents"/>
              <w:bidi w:val="0"/>
              <w:spacing w:before="0" w:after="283"/>
              <w:jc w:val="left"/>
              <w:rPr/>
            </w:pPr>
            <w:r>
              <w:rPr/>
              <w:t>) </w:t>
            </w:r>
          </w:p>
        </w:tc>
      </w:tr>
      <w:tr>
        <w:trPr/>
        <w:tc>
          <w:tcPr>
            <w:tcW w:w="35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(‘000)(1)</w:t>
            </w:r>
          </w:p>
        </w:tc>
        <w:tc>
          <w:tcPr>
            <w:tcW w:w="24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143 245</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142 875</w:t>
            </w:r>
          </w:p>
        </w:tc>
        <w:tc>
          <w:tcPr>
            <w:tcW w:w="159" w:type="dxa"/>
            <w:tcBorders/>
            <w:shd w:fill="CCEEFF" w:val="clear"/>
            <w:vAlign w:val="bottom"/>
          </w:tcPr>
          <w:p>
            <w:pPr>
              <w:pStyle w:val="TableContents"/>
              <w:bidi w:val="0"/>
              <w:spacing w:before="0" w:after="283"/>
              <w:jc w:val="left"/>
              <w:rPr/>
            </w:pPr>
            <w:r>
              <w:rPr/>
              <w:t> </w:t>
            </w:r>
          </w:p>
        </w:tc>
      </w:tr>
      <w:tr>
        <w:trPr/>
        <w:tc>
          <w:tcPr>
            <w:tcW w:w="3581"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earnings/(loss) per common share (US Dollars)</w:t>
            </w:r>
          </w:p>
        </w:tc>
        <w:tc>
          <w:tcPr>
            <w:tcW w:w="24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1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5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Earnings/(loss)</w:t>
            </w:r>
          </w:p>
        </w:tc>
        <w:tc>
          <w:tcPr>
            <w:tcW w:w="24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0.00</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(0.04</w:t>
            </w:r>
          </w:p>
        </w:tc>
        <w:tc>
          <w:tcPr>
            <w:tcW w:w="159" w:type="dxa"/>
            <w:tcBorders/>
            <w:shd w:fill="CCEEFF" w:val="clear"/>
            <w:vAlign w:val="bottom"/>
          </w:tcPr>
          <w:p>
            <w:pPr>
              <w:pStyle w:val="TableContents"/>
              <w:bidi w:val="0"/>
              <w:spacing w:before="0" w:after="283"/>
              <w:jc w:val="left"/>
              <w:rPr/>
            </w:pPr>
            <w:r>
              <w:rPr/>
              <w:t>) </w:t>
            </w:r>
          </w:p>
        </w:tc>
      </w:tr>
      <w:tr>
        <w:trPr/>
        <w:tc>
          <w:tcPr>
            <w:tcW w:w="3581" w:type="dxa"/>
            <w:tcBorders/>
          </w:tcPr>
          <w:p>
            <w:pPr>
              <w:pStyle w:val="TableContents"/>
              <w:bidi w:val="0"/>
              <w:spacing w:before="0" w:after="0"/>
              <w:jc w:val="left"/>
              <w:rPr>
                <w:rFonts w:ascii="Times New Roman" w:hAnsi="Times New Roman"/>
                <w:sz w:val="20"/>
              </w:rPr>
            </w:pPr>
            <w:r>
              <w:rPr>
                <w:rFonts w:ascii="Times New Roman" w:hAnsi="Times New Roman"/>
                <w:sz w:val="20"/>
              </w:rPr>
              <w:t>Headline earnings/(loss)</w:t>
            </w:r>
          </w:p>
        </w:tc>
        <w:tc>
          <w:tcPr>
            <w:tcW w:w="24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(0.03</w:t>
            </w:r>
          </w:p>
        </w:tc>
        <w:tc>
          <w:tcPr>
            <w:tcW w:w="159" w:type="dxa"/>
            <w:tcBorders/>
            <w:vAlign w:val="bottom"/>
          </w:tcPr>
          <w:p>
            <w:pPr>
              <w:pStyle w:val="TableContents"/>
              <w:bidi w:val="0"/>
              <w:spacing w:before="0" w:after="283"/>
              <w:jc w:val="left"/>
              <w:rPr/>
            </w:pPr>
            <w:r>
              <w:rPr/>
              <w:t>) </w:t>
            </w:r>
          </w:p>
        </w:tc>
      </w:tr>
      <w:tr>
        <w:trPr/>
        <w:tc>
          <w:tcPr>
            <w:tcW w:w="35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for diluted (‘000)</w:t>
            </w:r>
          </w:p>
        </w:tc>
        <w:tc>
          <w:tcPr>
            <w:tcW w:w="24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143 917</w:t>
            </w:r>
          </w:p>
        </w:tc>
        <w:tc>
          <w:tcPr>
            <w:tcW w:w="1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142 875</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common share outstanding as of June 30, 2026 is as reported in the quarterly report on Form 10-Q for the fiscal quarter ended June 30, 2026, filed with the Securities and Exchange Commission on August 5,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FORM 10-Q QUARTERLY REPORT and FORM 8-K CURRENT REPORT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13 or 15 (d) of the Securities Exchange Act of 1934, Montauk Renewables stockholders are advised that a Form 10-Q and Form 8-K has been filed with the SEC. The Form 10-Q disclose the quarterly results and related disclosures for the quarterly period ended 30 June 2026. The Form 8-K discloses the press release announcing the quarterly results for the second quarter ended 30 June 2026. </w:t>
      </w:r>
    </w:p>
    <w:p>
      <w:pPr>
        <w:pStyle w:val="TextBody"/>
        <w:bidi w:val="0"/>
        <w:spacing w:before="240" w:after="0"/>
        <w:jc w:val="left"/>
        <w:rPr>
          <w:rFonts w:ascii="Times New Roman" w:hAnsi="Times New Roman"/>
          <w:sz w:val="20"/>
        </w:rPr>
      </w:pPr>
      <w:r>
        <w:rPr>
          <w:rFonts w:ascii="Times New Roman" w:hAnsi="Times New Roman"/>
          <w:sz w:val="20"/>
        </w:rPr>
        <w:t xml:space="preserve">A copy of the Form 10-Q can be found at: </w:t>
      </w:r>
    </w:p>
    <w:p>
      <w:pPr>
        <w:pStyle w:val="TextBody"/>
        <w:bidi w:val="0"/>
        <w:spacing w:before="120" w:after="0"/>
        <w:jc w:val="left"/>
        <w:rPr/>
      </w:pPr>
      <w:hyperlink r:id="rId2">
        <w:r>
          <w:rPr>
            <w:rStyle w:val="InternetLink"/>
            <w:rFonts w:ascii="Times New Roman" w:hAnsi="Times New Roman"/>
            <w:sz w:val="20"/>
            <w:u w:val="single"/>
          </w:rPr>
          <w:t>https://www.sec.gov/ix?doc=/Archives/edgar/data/0001826600/000119312526335335/mntk-20260630.htm</w:t>
        </w:r>
      </w:hyperlink>
      <w:hyperlink r:id="rId3">
        <w:r>
          <w:rPr>
            <w:rStyle w:val="InternetLink"/>
            <w:rFonts w:ascii="Times New Roman" w:hAnsi="Times New Roman"/>
            <w:sz w:val="20"/>
          </w:rPr>
          <w:t xml:space="preserve"> </w:t>
        </w:r>
      </w:hyperlink>
    </w:p>
    <w:p>
      <w:pPr>
        <w:pStyle w:val="TextBody"/>
        <w:bidi w:val="0"/>
        <w:spacing w:before="240" w:after="0"/>
        <w:jc w:val="left"/>
        <w:rPr>
          <w:rFonts w:ascii="Times New Roman" w:hAnsi="Times New Roman"/>
          <w:sz w:val="20"/>
        </w:rPr>
      </w:pPr>
      <w:r>
        <w:rPr>
          <w:rFonts w:ascii="Times New Roman" w:hAnsi="Times New Roman"/>
          <w:sz w:val="20"/>
        </w:rPr>
        <w:t xml:space="preserve">A copy of the Form 8-K can be found at: </w:t>
      </w:r>
    </w:p>
    <w:p>
      <w:pPr>
        <w:pStyle w:val="TextBody"/>
        <w:bidi w:val="0"/>
        <w:spacing w:before="120" w:after="0"/>
        <w:jc w:val="left"/>
        <w:rPr/>
      </w:pPr>
      <w:hyperlink r:id="rId4">
        <w:r>
          <w:rPr>
            <w:rStyle w:val="InternetLink"/>
            <w:rFonts w:ascii="Times New Roman" w:hAnsi="Times New Roman"/>
            <w:sz w:val="20"/>
            <w:u w:val="single"/>
          </w:rPr>
          <w:t>https://www.sec.gov/ix?doc=/Archives/edgar/data/0001826600/000119312526335293/mntk-20260805.htm</w:t>
        </w:r>
      </w:hyperlink>
      <w:hyperlink r:id="rId5">
        <w:r>
          <w:rPr>
            <w:rStyle w:val="InternetLink"/>
            <w:rFonts w:ascii="Times New Roman" w:hAnsi="Times New Roman"/>
            <w:sz w:val="20"/>
          </w:rPr>
          <w:t xml:space="preserve"> </w:t>
        </w:r>
      </w:hyperlink>
    </w:p>
    <w:p>
      <w:pPr>
        <w:pStyle w:val="TextBody"/>
        <w:bidi w:val="0"/>
        <w:spacing w:before="240" w:after="0"/>
        <w:jc w:val="left"/>
        <w:rPr>
          <w:rFonts w:ascii="Times New Roman" w:hAnsi="Times New Roman"/>
          <w:sz w:val="20"/>
        </w:rPr>
      </w:pPr>
      <w:r>
        <w:rPr>
          <w:rFonts w:ascii="Times New Roman" w:hAnsi="Times New Roman"/>
          <w:sz w:val="20"/>
        </w:rPr>
        <w:t xml:space="preserve">DIRECTORS’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short-form announcement is the responsibility of the Company’s Board of Directors.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financial information is only a summary and does not contain full details of the financial results. Any investment decisions by investors and/or shareholders should be based on information contained in the full announcement, accessible from August 6, 2026, via the JSE link https://senspdf.jse.co.za/documents/2026/jse/isse/MKRE/HY26.pdf. The full announcement is also available on the Company’s website https://ir.montaukrenewables.com/ to comply with paragraph 6.35(c)(i) of the JSE Listings Requirements. </w:t>
      </w:r>
    </w:p>
    <w:p>
      <w:pPr>
        <w:pStyle w:val="TextBody"/>
        <w:bidi w:val="0"/>
        <w:spacing w:before="240" w:after="0"/>
        <w:jc w:val="left"/>
        <w:rPr>
          <w:rFonts w:ascii="Times New Roman" w:hAnsi="Times New Roman"/>
          <w:sz w:val="20"/>
        </w:rPr>
      </w:pPr>
      <w:r>
        <w:rPr>
          <w:rFonts w:ascii="Times New Roman" w:hAnsi="Times New Roman"/>
          <w:sz w:val="20"/>
        </w:rPr>
        <w:t xml:space="preserve">August 6, 2026 </w:t>
      </w:r>
    </w:p>
    <w:p>
      <w:pPr>
        <w:pStyle w:val="TextBody"/>
        <w:bidi w:val="0"/>
        <w:spacing w:before="240" w:after="0"/>
        <w:jc w:val="left"/>
        <w:rPr>
          <w:rFonts w:ascii="Times New Roman" w:hAnsi="Times New Roman"/>
          <w:sz w:val="20"/>
        </w:rPr>
      </w:pPr>
      <w:r>
        <w:rPr>
          <w:rFonts w:ascii="Times New Roman" w:hAnsi="Times New Roman"/>
          <w:sz w:val="20"/>
        </w:rPr>
        <w:t xml:space="preserve">Directors: JA Copelyn (Chairman)*###, SF McClain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MH Ahmed*###, TG Govender*###, J Cunningham*#, Y Shaik*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Non-executive; #United States of America; ### Republic of South Africa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Company secretary: J Ciroli </w:t>
      </w:r>
    </w:p>
    <w:p>
      <w:pPr>
        <w:pStyle w:val="TextBody"/>
        <w:bidi w:val="0"/>
        <w:spacing w:before="240" w:after="0"/>
        <w:jc w:val="left"/>
        <w:rPr>
          <w:rFonts w:ascii="Times New Roman" w:hAnsi="Times New Roman"/>
          <w:sz w:val="20"/>
        </w:rPr>
      </w:pPr>
      <w:r>
        <w:rPr>
          <w:rFonts w:ascii="Times New Roman" w:hAnsi="Times New Roman"/>
          <w:sz w:val="20"/>
        </w:rPr>
        <w:t xml:space="preserve">Registered office: 5313 Campbells Run Road, Suite 200, Pittsburgh, PA 15205 </w:t>
      </w:r>
    </w:p>
    <w:p>
      <w:pPr>
        <w:pStyle w:val="TextBody"/>
        <w:bidi w:val="0"/>
        <w:spacing w:before="0" w:after="0"/>
        <w:jc w:val="left"/>
        <w:rPr>
          <w:rFonts w:ascii="Times New Roman" w:hAnsi="Times New Roman"/>
          <w:sz w:val="20"/>
        </w:rPr>
      </w:pPr>
      <w:r>
        <w:rPr>
          <w:rFonts w:ascii="Times New Roman" w:hAnsi="Times New Roman"/>
          <w:sz w:val="20"/>
        </w:rPr>
        <w:t xml:space="preserve">Website: https://ir.montaukrenewables.com/ </w:t>
      </w:r>
    </w:p>
    <w:p>
      <w:pPr>
        <w:pStyle w:val="TextBody"/>
        <w:bidi w:val="0"/>
        <w:spacing w:before="240" w:after="0"/>
        <w:jc w:val="left"/>
        <w:rPr>
          <w:rFonts w:ascii="Times New Roman" w:hAnsi="Times New Roman"/>
          <w:sz w:val="20"/>
        </w:rPr>
      </w:pPr>
      <w:r>
        <w:rPr>
          <w:rFonts w:ascii="Times New Roman" w:hAnsi="Times New Roman"/>
          <w:sz w:val="20"/>
        </w:rPr>
        <w:t xml:space="preserve">Montauk Renewables is primary listed on the Nasdaq and secondary listed on the JSE. </w:t>
      </w:r>
    </w:p>
    <w:p>
      <w:pPr>
        <w:pStyle w:val="TextBody"/>
        <w:bidi w:val="0"/>
        <w:spacing w:before="240" w:after="0"/>
        <w:jc w:val="left"/>
        <w:rPr>
          <w:rFonts w:ascii="Times New Roman" w:hAnsi="Times New Roman"/>
          <w:sz w:val="20"/>
        </w:rPr>
      </w:pPr>
      <w:r>
        <w:rPr>
          <w:rFonts w:ascii="Times New Roman" w:hAnsi="Times New Roman"/>
          <w:sz w:val="20"/>
        </w:rPr>
        <w:t xml:space="preserve">Sponsor: </w:t>
      </w:r>
    </w:p>
    <w:p>
      <w:pPr>
        <w:pStyle w:val="TextBody"/>
        <w:bidi w:val="0"/>
        <w:spacing w:before="120" w:after="0"/>
        <w:jc w:val="left"/>
        <w:rPr>
          <w:rFonts w:ascii="Times New Roman" w:hAnsi="Times New Roman"/>
          <w:sz w:val="20"/>
        </w:rPr>
      </w:pPr>
      <w:r>
        <w:rPr>
          <w:rFonts w:ascii="Times New Roman" w:hAnsi="Times New Roman"/>
          <w:sz w:val="20"/>
        </w:rPr>
        <w:t xml:space="preserve">Investec Bank Limited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826600/000119312526335335/mntk-20260630.htm" TargetMode="External"/><Relationship Id="rId3" Type="http://schemas.openxmlformats.org/officeDocument/2006/relationships/hyperlink" Target="http://www.sec.gov/Archives/edgar/data/../../../ix?doc=/Archives/edgar/data/0001826600/000119312526335335/mntk-20260630.htm" TargetMode="External"/><Relationship Id="rId4" Type="http://schemas.openxmlformats.org/officeDocument/2006/relationships/hyperlink" Target="http://www.sec.gov/Archives/edgar/data/../../../ix?doc=/Archives/edgar/data/0001826600/000119312526335293/mntk-20260805.htm" TargetMode="External"/><Relationship Id="rId5" Type="http://schemas.openxmlformats.org/officeDocument/2006/relationships/hyperlink" Target="http://www.sec.gov/Archives/edgar/data/../../../ix?doc=/Archives/edgar/data/0001826600/000119312526335293/mntk-20260805.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1151</Words>
  <Characters>6387</Characters>
  <CharactersWithSpaces>7701</CharactersWithSpaces>
  <Paragraphs>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