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7"/>
        <w:spacing w:after="0"/>
        <w:rPr>
          <w:sz w:val="20"/>
          <w:szCs w:val="20"/>
          <w:color w:val="auto"/>
        </w:rPr>
      </w:pPr>
      <w:r>
        <w:rPr>
          <w:rFonts w:ascii="Arial" w:cs="Arial" w:eastAsia="Arial" w:hAnsi="Arial"/>
          <w:sz w:val="26"/>
          <w:szCs w:val="26"/>
          <w:b w:val="1"/>
          <w:bCs w:val="1"/>
          <w:color w:val="auto"/>
        </w:rPr>
        <w:t>UNITED STATES</w:t>
      </w:r>
    </w:p>
    <w:p>
      <w:pPr>
        <w:spacing w:after="0" w:line="34" w:lineRule="exact"/>
        <w:rPr>
          <w:sz w:val="24"/>
          <w:szCs w:val="24"/>
          <w:color w:val="auto"/>
        </w:rPr>
      </w:pPr>
    </w:p>
    <w:p>
      <w:pPr>
        <w:jc w:val="center"/>
        <w:ind w:right="-487"/>
        <w:spacing w:after="0"/>
        <w:rPr>
          <w:sz w:val="20"/>
          <w:szCs w:val="20"/>
          <w:color w:val="auto"/>
        </w:rPr>
      </w:pPr>
      <w:r>
        <w:rPr>
          <w:rFonts w:ascii="Arial" w:cs="Arial" w:eastAsia="Arial" w:hAnsi="Arial"/>
          <w:sz w:val="26"/>
          <w:szCs w:val="26"/>
          <w:b w:val="1"/>
          <w:bCs w:val="1"/>
          <w:color w:val="auto"/>
        </w:rPr>
        <w:t>SECURITIES AND EXCHANGE COMMISSION</w:t>
      </w:r>
    </w:p>
    <w:p>
      <w:pPr>
        <w:spacing w:after="0" w:line="14" w:lineRule="exact"/>
        <w:rPr>
          <w:sz w:val="24"/>
          <w:szCs w:val="24"/>
          <w:color w:val="auto"/>
        </w:rPr>
      </w:pPr>
    </w:p>
    <w:p>
      <w:pPr>
        <w:jc w:val="center"/>
        <w:ind w:right="-487"/>
        <w:spacing w:after="0"/>
        <w:rPr>
          <w:sz w:val="20"/>
          <w:szCs w:val="20"/>
          <w:color w:val="auto"/>
        </w:rPr>
      </w:pPr>
      <w:r>
        <w:rPr>
          <w:rFonts w:ascii="Arial" w:cs="Arial" w:eastAsia="Arial" w:hAnsi="Arial"/>
          <w:sz w:val="15"/>
          <w:szCs w:val="15"/>
          <w:b w:val="1"/>
          <w:bCs w:val="1"/>
          <w:color w:val="auto"/>
        </w:rPr>
        <w:t>Washington, D.C. 20549</w:t>
      </w:r>
    </w:p>
    <w:p>
      <w:pPr>
        <w:spacing w:after="0" w:line="165" w:lineRule="exact"/>
        <w:rPr>
          <w:sz w:val="24"/>
          <w:szCs w:val="24"/>
          <w:color w:val="auto"/>
        </w:rPr>
      </w:pPr>
    </w:p>
    <w:p>
      <w:pPr>
        <w:ind w:left="3068"/>
        <w:spacing w:after="0"/>
        <w:rPr>
          <w:sz w:val="20"/>
          <w:szCs w:val="20"/>
          <w:color w:val="auto"/>
        </w:rPr>
      </w:pPr>
      <w:r>
        <w:rPr>
          <w:rFonts w:ascii="Arial" w:cs="Arial" w:eastAsia="Arial" w:hAnsi="Arial"/>
          <w:sz w:val="26"/>
          <w:szCs w:val="26"/>
          <w:b w:val="1"/>
          <w:bCs w:val="1"/>
          <w:color w:val="auto"/>
        </w:rPr>
        <w:t>SCHEDULE 14A INFORMATION</w:t>
      </w:r>
    </w:p>
    <w:p>
      <w:pPr>
        <w:spacing w:after="0" w:line="222" w:lineRule="exact"/>
        <w:rPr>
          <w:sz w:val="24"/>
          <w:szCs w:val="24"/>
          <w:color w:val="auto"/>
        </w:rPr>
      </w:pPr>
    </w:p>
    <w:p>
      <w:pPr>
        <w:jc w:val="center"/>
        <w:ind w:right="-487"/>
        <w:spacing w:after="0"/>
        <w:rPr>
          <w:sz w:val="20"/>
          <w:szCs w:val="20"/>
          <w:color w:val="auto"/>
        </w:rPr>
      </w:pPr>
      <w:r>
        <w:rPr>
          <w:rFonts w:ascii="Arial" w:cs="Arial" w:eastAsia="Arial" w:hAnsi="Arial"/>
          <w:sz w:val="15"/>
          <w:szCs w:val="15"/>
          <w:b w:val="1"/>
          <w:bCs w:val="1"/>
          <w:color w:val="auto"/>
        </w:rPr>
        <w:t>Proxy Statement Pursuant to Section 14(a) of</w:t>
      </w:r>
    </w:p>
    <w:p>
      <w:pPr>
        <w:spacing w:after="0" w:line="13" w:lineRule="exact"/>
        <w:rPr>
          <w:sz w:val="24"/>
          <w:szCs w:val="24"/>
          <w:color w:val="auto"/>
        </w:rPr>
      </w:pPr>
    </w:p>
    <w:p>
      <w:pPr>
        <w:jc w:val="center"/>
        <w:ind w:right="-487"/>
        <w:spacing w:after="0"/>
        <w:rPr>
          <w:sz w:val="20"/>
          <w:szCs w:val="20"/>
          <w:color w:val="auto"/>
        </w:rPr>
      </w:pPr>
      <w:r>
        <w:rPr>
          <w:rFonts w:ascii="Arial" w:cs="Arial" w:eastAsia="Arial" w:hAnsi="Arial"/>
          <w:sz w:val="15"/>
          <w:szCs w:val="15"/>
          <w:b w:val="1"/>
          <w:bCs w:val="1"/>
          <w:color w:val="auto"/>
        </w:rPr>
        <w:t>the Securities Exchange Act of 1934</w:t>
      </w:r>
    </w:p>
    <w:p>
      <w:pPr>
        <w:jc w:val="center"/>
        <w:ind w:right="-487"/>
        <w:spacing w:after="0"/>
        <w:rPr>
          <w:sz w:val="20"/>
          <w:szCs w:val="20"/>
          <w:color w:val="auto"/>
        </w:rPr>
      </w:pPr>
      <w:r>
        <w:rPr>
          <w:rFonts w:ascii="Arial" w:cs="Arial" w:eastAsia="Arial" w:hAnsi="Arial"/>
          <w:sz w:val="15"/>
          <w:szCs w:val="15"/>
          <w:b w:val="1"/>
          <w:bCs w:val="1"/>
          <w:color w:val="auto"/>
        </w:rPr>
        <w:t>(Amendment No.    )</w:t>
      </w:r>
    </w:p>
    <w:p>
      <w:pPr>
        <w:spacing w:after="0" w:line="149" w:lineRule="exact"/>
        <w:rPr>
          <w:sz w:val="24"/>
          <w:szCs w:val="24"/>
          <w:color w:val="auto"/>
        </w:rPr>
      </w:pPr>
    </w:p>
    <w:p>
      <w:pPr>
        <w:ind w:left="8"/>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208" w:lineRule="exact"/>
        <w:rPr>
          <w:sz w:val="24"/>
          <w:szCs w:val="24"/>
          <w:color w:val="auto"/>
        </w:rPr>
      </w:pPr>
    </w:p>
    <w:p>
      <w:pPr>
        <w:ind w:left="8"/>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42" w:lineRule="exact"/>
        <w:rPr>
          <w:sz w:val="24"/>
          <w:szCs w:val="24"/>
          <w:color w:val="auto"/>
        </w:rPr>
      </w:pPr>
    </w:p>
    <w:p>
      <w:pPr>
        <w:ind w:left="8"/>
        <w:spacing w:after="0"/>
        <w:rPr>
          <w:sz w:val="20"/>
          <w:szCs w:val="20"/>
          <w:color w:val="auto"/>
        </w:rPr>
      </w:pPr>
      <w:r>
        <w:rPr>
          <w:rFonts w:ascii="Arial" w:cs="Arial" w:eastAsia="Arial" w:hAnsi="Arial"/>
          <w:sz w:val="15"/>
          <w:szCs w:val="15"/>
          <w:color w:val="auto"/>
        </w:rPr>
        <w:t>Check the appropriate box:</w:t>
      </w:r>
    </w:p>
    <w:p>
      <w:pPr>
        <w:spacing w:after="0" w:line="110" w:lineRule="exact"/>
        <w:rPr>
          <w:sz w:val="24"/>
          <w:szCs w:val="24"/>
          <w:color w:val="auto"/>
        </w:rPr>
      </w:pPr>
    </w:p>
    <w:p>
      <w:pPr>
        <w:ind w:left="388" w:hanging="388"/>
        <w:spacing w:after="0"/>
        <w:tabs>
          <w:tab w:leader="none" w:pos="388"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122" w:lineRule="exact"/>
        <w:rPr>
          <w:rFonts w:ascii="MS PGothic" w:cs="MS PGothic" w:eastAsia="MS PGothic" w:hAnsi="MS PGothic"/>
          <w:sz w:val="15"/>
          <w:szCs w:val="15"/>
          <w:color w:val="auto"/>
        </w:rPr>
      </w:pPr>
    </w:p>
    <w:p>
      <w:pPr>
        <w:ind w:left="388" w:hanging="388"/>
        <w:spacing w:after="0"/>
        <w:tabs>
          <w:tab w:leader="none" w:pos="388"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Confidential, for Use of the Commission Only (as permitted by Rule 14a-6(e)(2))</w:t>
      </w:r>
    </w:p>
    <w:p>
      <w:pPr>
        <w:spacing w:after="0" w:line="122" w:lineRule="exact"/>
        <w:rPr>
          <w:rFonts w:ascii="MS PGothic" w:cs="MS PGothic" w:eastAsia="MS PGothic" w:hAnsi="MS PGothic"/>
          <w:sz w:val="15"/>
          <w:szCs w:val="15"/>
          <w:color w:val="auto"/>
        </w:rPr>
      </w:pPr>
    </w:p>
    <w:p>
      <w:pPr>
        <w:ind w:left="388" w:hanging="388"/>
        <w:spacing w:after="0"/>
        <w:tabs>
          <w:tab w:leader="none" w:pos="388"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122" w:lineRule="exact"/>
        <w:rPr>
          <w:sz w:val="24"/>
          <w:szCs w:val="24"/>
          <w:color w:val="auto"/>
        </w:rPr>
      </w:pPr>
    </w:p>
    <w:p>
      <w:pPr>
        <w:ind w:left="388" w:hanging="388"/>
        <w:spacing w:after="0"/>
        <w:tabs>
          <w:tab w:leader="none" w:pos="388"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22" w:lineRule="exact"/>
        <w:rPr>
          <w:sz w:val="24"/>
          <w:szCs w:val="24"/>
          <w:color w:val="auto"/>
        </w:rPr>
      </w:pPr>
    </w:p>
    <w:p>
      <w:pPr>
        <w:ind w:left="388" w:hanging="388"/>
        <w:spacing w:after="0"/>
        <w:tabs>
          <w:tab w:leader="none" w:pos="388"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Soliciting Material under § 240.14a-12</w:t>
      </w:r>
    </w:p>
    <w:p>
      <w:pPr>
        <w:spacing w:after="0" w:line="194" w:lineRule="exact"/>
        <w:rPr>
          <w:sz w:val="24"/>
          <w:szCs w:val="24"/>
          <w:color w:val="auto"/>
        </w:rPr>
      </w:pPr>
    </w:p>
    <w:p>
      <w:pPr>
        <w:jc w:val="center"/>
        <w:ind w:right="-487"/>
        <w:spacing w:after="0"/>
        <w:rPr>
          <w:sz w:val="20"/>
          <w:szCs w:val="20"/>
          <w:color w:val="auto"/>
        </w:rPr>
      </w:pPr>
      <w:r>
        <w:rPr>
          <w:rFonts w:ascii="Arial" w:cs="Arial" w:eastAsia="Arial" w:hAnsi="Arial"/>
          <w:sz w:val="29"/>
          <w:szCs w:val="29"/>
          <w:b w:val="1"/>
          <w:bCs w:val="1"/>
          <w:color w:val="auto"/>
        </w:rPr>
        <w:t>MONTAUK RENEWABLES, INC.</w:t>
      </w:r>
    </w:p>
    <w:p>
      <w:pPr>
        <w:spacing w:after="0" w:line="39" w:lineRule="exact"/>
        <w:rPr>
          <w:sz w:val="24"/>
          <w:szCs w:val="24"/>
          <w:color w:val="auto"/>
        </w:rPr>
      </w:pPr>
    </w:p>
    <w:p>
      <w:pPr>
        <w:jc w:val="center"/>
        <w:ind w:right="-487"/>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182" w:lineRule="exact"/>
        <w:rPr>
          <w:sz w:val="24"/>
          <w:szCs w:val="24"/>
          <w:color w:val="auto"/>
        </w:rPr>
      </w:pPr>
    </w:p>
    <w:p>
      <w:pPr>
        <w:jc w:val="center"/>
        <w:ind w:right="-487"/>
        <w:spacing w:after="0"/>
        <w:rPr>
          <w:sz w:val="20"/>
          <w:szCs w:val="20"/>
          <w:color w:val="auto"/>
        </w:rPr>
      </w:pPr>
      <w:r>
        <w:rPr>
          <w:rFonts w:ascii="Arial" w:cs="Arial" w:eastAsia="Arial" w:hAnsi="Arial"/>
          <w:sz w:val="15"/>
          <w:szCs w:val="15"/>
          <w:b w:val="1"/>
          <w:bCs w:val="1"/>
          <w:color w:val="auto"/>
        </w:rPr>
        <w:t>N/A</w:t>
      </w:r>
    </w:p>
    <w:p>
      <w:pPr>
        <w:spacing w:after="0" w:line="13" w:lineRule="exact"/>
        <w:rPr>
          <w:sz w:val="24"/>
          <w:szCs w:val="24"/>
          <w:color w:val="auto"/>
        </w:rPr>
      </w:pPr>
    </w:p>
    <w:p>
      <w:pPr>
        <w:jc w:val="center"/>
        <w:ind w:right="-487"/>
        <w:spacing w:after="0"/>
        <w:rPr>
          <w:sz w:val="20"/>
          <w:szCs w:val="20"/>
          <w:color w:val="auto"/>
        </w:rPr>
      </w:pPr>
      <w:r>
        <w:rPr>
          <w:rFonts w:ascii="Arial" w:cs="Arial" w:eastAsia="Arial" w:hAnsi="Arial"/>
          <w:sz w:val="15"/>
          <w:szCs w:val="15"/>
          <w:b w:val="1"/>
          <w:bCs w:val="1"/>
          <w:color w:val="auto"/>
        </w:rPr>
        <w:t>(Name of Person(s) Filing Proxy Statement, if Other Than the Registrant)</w:t>
      </w:r>
    </w:p>
    <w:p>
      <w:pPr>
        <w:spacing w:after="0" w:line="182" w:lineRule="exact"/>
        <w:rPr>
          <w:sz w:val="24"/>
          <w:szCs w:val="24"/>
          <w:color w:val="auto"/>
        </w:rPr>
      </w:pPr>
    </w:p>
    <w:p>
      <w:pPr>
        <w:ind w:left="8"/>
        <w:spacing w:after="0"/>
        <w:rPr>
          <w:sz w:val="20"/>
          <w:szCs w:val="20"/>
          <w:color w:val="auto"/>
        </w:rPr>
      </w:pPr>
      <w:r>
        <w:rPr>
          <w:rFonts w:ascii="Arial" w:cs="Arial" w:eastAsia="Arial" w:hAnsi="Arial"/>
          <w:sz w:val="15"/>
          <w:szCs w:val="15"/>
          <w:color w:val="auto"/>
        </w:rPr>
        <w:t>Payment of Filing Fee (Check all boxes that apply):</w:t>
      </w:r>
    </w:p>
    <w:p>
      <w:pPr>
        <w:spacing w:after="0" w:line="110" w:lineRule="exact"/>
        <w:rPr>
          <w:sz w:val="24"/>
          <w:szCs w:val="24"/>
          <w:color w:val="auto"/>
        </w:rPr>
      </w:pPr>
    </w:p>
    <w:p>
      <w:pPr>
        <w:ind w:left="388" w:hanging="388"/>
        <w:spacing w:after="0"/>
        <w:tabs>
          <w:tab w:leader="none" w:pos="388"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22" w:lineRule="exact"/>
        <w:rPr>
          <w:sz w:val="24"/>
          <w:szCs w:val="24"/>
          <w:color w:val="auto"/>
        </w:rPr>
      </w:pPr>
    </w:p>
    <w:p>
      <w:pPr>
        <w:ind w:left="388" w:hanging="388"/>
        <w:spacing w:after="0"/>
        <w:tabs>
          <w:tab w:leader="none" w:pos="388"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22" w:lineRule="exact"/>
        <w:rPr>
          <w:rFonts w:ascii="MS PGothic" w:cs="MS PGothic" w:eastAsia="MS PGothic" w:hAnsi="MS PGothic"/>
          <w:sz w:val="15"/>
          <w:szCs w:val="15"/>
          <w:color w:val="auto"/>
        </w:rPr>
      </w:pPr>
    </w:p>
    <w:p>
      <w:pPr>
        <w:ind w:left="388" w:hanging="388"/>
        <w:spacing w:after="0"/>
        <w:tabs>
          <w:tab w:leader="none" w:pos="388"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14a-6(i)(1) and 0-11.</w:t>
      </w:r>
    </w:p>
    <w:p>
      <w:pPr>
        <w:sectPr>
          <w:pgSz w:w="11900" w:h="16838" w:orient="portrait"/>
          <w:cols w:equalWidth="0" w:num="1">
            <w:col w:w="9527"/>
          </w:cols>
          <w:pgMar w:left="932" w:top="208" w:right="1440" w:bottom="1440" w:gutter="0" w:footer="0" w:header="0"/>
        </w:sectPr>
      </w:pPr>
    </w:p>
    <w:bookmarkStart w:id="1" w:name="page2"/>
    <w:bookmarkEnd w:id="1"/>
    <w:p>
      <w:pPr>
        <w:ind w:left="7347"/>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5660" cy="36195"/>
                    </a:xfrm>
                    <a:prstGeom prst="rect">
                      <a:avLst/>
                    </a:prstGeom>
                    <a:noFill/>
                  </pic:spPr>
                </pic:pic>
              </a:graphicData>
            </a:graphic>
          </wp:anchor>
        </w:drawing>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-154305</wp:posOffset>
            </wp:positionV>
            <wp:extent cx="1637665" cy="265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665" cy="265430"/>
                    </a:xfrm>
                    <a:prstGeom prst="rect">
                      <a:avLst/>
                    </a:prstGeom>
                    <a:noFill/>
                  </pic:spPr>
                </pic:pic>
              </a:graphicData>
            </a:graphic>
          </wp:anchor>
        </w:drawing>
      </w:r>
    </w:p>
    <w:p>
      <w:pPr>
        <w:spacing w:after="0" w:line="11" w:lineRule="exact"/>
        <w:rPr>
          <w:sz w:val="20"/>
          <w:szCs w:val="20"/>
          <w:color w:val="auto"/>
        </w:rPr>
      </w:pPr>
    </w:p>
    <w:p>
      <w:pPr>
        <w:ind w:left="8327"/>
        <w:spacing w:after="0"/>
        <w:rPr>
          <w:sz w:val="20"/>
          <w:szCs w:val="20"/>
          <w:color w:val="auto"/>
        </w:rPr>
      </w:pPr>
      <w:r>
        <w:rPr>
          <w:rFonts w:ascii="Arial" w:cs="Arial" w:eastAsia="Arial" w:hAnsi="Arial"/>
          <w:sz w:val="13"/>
          <w:szCs w:val="13"/>
          <w:b w:val="1"/>
          <w:bCs w:val="1"/>
          <w:color w:val="auto"/>
        </w:rPr>
        <w:t> </w:t>
      </w:r>
    </w:p>
    <w:p>
      <w:pPr>
        <w:spacing w:after="0" w:line="17" w:lineRule="exact"/>
        <w:rPr>
          <w:sz w:val="20"/>
          <w:szCs w:val="20"/>
          <w:color w:val="auto"/>
        </w:rPr>
      </w:pPr>
    </w:p>
    <w:p>
      <w:pPr>
        <w:jc w:val="center"/>
        <w:ind w:left="5327"/>
        <w:spacing w:after="0"/>
        <w:rPr>
          <w:sz w:val="20"/>
          <w:szCs w:val="20"/>
          <w:color w:val="auto"/>
        </w:rPr>
      </w:pPr>
      <w:r>
        <w:rPr>
          <w:rFonts w:ascii="Arial" w:cs="Arial" w:eastAsia="Arial" w:hAnsi="Arial"/>
          <w:sz w:val="43"/>
          <w:szCs w:val="43"/>
          <w:color w:val="004876"/>
        </w:rPr>
        <w:t xml:space="preserve">Your </w:t>
      </w:r>
      <w:r>
        <w:rPr>
          <w:rFonts w:ascii="Arial" w:cs="Arial" w:eastAsia="Arial" w:hAnsi="Arial"/>
          <w:sz w:val="43"/>
          <w:szCs w:val="43"/>
          <w:b w:val="1"/>
          <w:bCs w:val="1"/>
          <w:color w:val="004876"/>
        </w:rPr>
        <w:t>Vote</w:t>
      </w:r>
      <w:r>
        <w:rPr>
          <w:rFonts w:ascii="Arial" w:cs="Arial" w:eastAsia="Arial" w:hAnsi="Arial"/>
          <w:sz w:val="43"/>
          <w:szCs w:val="43"/>
          <w:color w:val="004876"/>
        </w:rPr>
        <w:t xml:space="preserve"> Counts!</w:t>
      </w:r>
    </w:p>
    <w:p>
      <w:pPr>
        <w:spacing w:after="0" w:line="87" w:lineRule="exact"/>
        <w:rPr>
          <w:sz w:val="20"/>
          <w:szCs w:val="20"/>
          <w:color w:val="auto"/>
        </w:rPr>
      </w:pPr>
    </w:p>
    <w:p>
      <w:pPr>
        <w:ind w:left="6087"/>
        <w:spacing w:after="0"/>
        <w:rPr>
          <w:sz w:val="20"/>
          <w:szCs w:val="20"/>
          <w:color w:val="auto"/>
        </w:rPr>
      </w:pPr>
      <w:r>
        <w:rPr>
          <w:rFonts w:ascii="Arial" w:cs="Arial" w:eastAsia="Arial" w:hAnsi="Arial"/>
          <w:sz w:val="18"/>
          <w:szCs w:val="18"/>
          <w:b w:val="1"/>
          <w:bCs w:val="1"/>
          <w:color w:val="004876"/>
        </w:rPr>
        <w:t>MONTAUK RENEWABLES, INC.</w:t>
      </w:r>
    </w:p>
    <w:p>
      <w:pPr>
        <w:spacing w:after="0" w:line="62" w:lineRule="exact"/>
        <w:rPr>
          <w:sz w:val="20"/>
          <w:szCs w:val="20"/>
          <w:color w:val="auto"/>
        </w:rPr>
      </w:pPr>
    </w:p>
    <w:tbl>
      <w:tblPr>
        <w:tblLayout w:type="fixed"/>
        <w:tblInd w:w="447"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4780" w:type="dxa"/>
            <w:vAlign w:val="bottom"/>
          </w:tcPr>
          <w:p>
            <w:pPr>
              <w:jc w:val="center"/>
              <w:ind w:left="1335"/>
              <w:spacing w:after="0"/>
              <w:rPr>
                <w:sz w:val="20"/>
                <w:szCs w:val="20"/>
                <w:color w:val="auto"/>
              </w:rPr>
            </w:pPr>
            <w:r>
              <w:rPr>
                <w:rFonts w:ascii="Arial" w:cs="Arial" w:eastAsia="Arial" w:hAnsi="Arial"/>
                <w:sz w:val="13"/>
                <w:szCs w:val="13"/>
                <w:color w:val="004876"/>
                <w:w w:val="99"/>
              </w:rPr>
              <w:t>2026 Annual Meeting</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4780" w:type="dxa"/>
            <w:vAlign w:val="bottom"/>
          </w:tcPr>
          <w:p>
            <w:pPr>
              <w:jc w:val="center"/>
              <w:ind w:left="1335"/>
              <w:spacing w:after="0" w:line="148" w:lineRule="exact"/>
              <w:rPr>
                <w:sz w:val="20"/>
                <w:szCs w:val="20"/>
                <w:color w:val="auto"/>
              </w:rPr>
            </w:pPr>
            <w:r>
              <w:rPr>
                <w:rFonts w:ascii="Arial" w:cs="Arial" w:eastAsia="Arial" w:hAnsi="Arial"/>
                <w:sz w:val="13"/>
                <w:szCs w:val="13"/>
                <w:color w:val="004876"/>
              </w:rPr>
              <w:t>Annual Meeting Date: May 26, 2026</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4780" w:type="dxa"/>
            <w:vAlign w:val="bottom"/>
          </w:tcPr>
          <w:p>
            <w:pPr>
              <w:jc w:val="center"/>
              <w:ind w:left="1335"/>
              <w:spacing w:after="0" w:line="148" w:lineRule="exact"/>
              <w:rPr>
                <w:sz w:val="20"/>
                <w:szCs w:val="20"/>
                <w:color w:val="auto"/>
              </w:rPr>
            </w:pPr>
            <w:r>
              <w:rPr>
                <w:rFonts w:ascii="Arial" w:cs="Arial" w:eastAsia="Arial" w:hAnsi="Arial"/>
                <w:sz w:val="13"/>
                <w:szCs w:val="13"/>
                <w:color w:val="004876"/>
              </w:rPr>
              <w:t>Time: 9:00 a.m., Eastern Daylight Time</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4780" w:type="dxa"/>
            <w:vAlign w:val="bottom"/>
          </w:tcPr>
          <w:p>
            <w:pPr>
              <w:jc w:val="center"/>
              <w:ind w:left="1335"/>
              <w:spacing w:after="0" w:line="148" w:lineRule="exact"/>
              <w:rPr>
                <w:sz w:val="20"/>
                <w:szCs w:val="20"/>
                <w:color w:val="auto"/>
              </w:rPr>
            </w:pPr>
            <w:r>
              <w:rPr>
                <w:rFonts w:ascii="Arial" w:cs="Arial" w:eastAsia="Arial" w:hAnsi="Arial"/>
                <w:sz w:val="13"/>
                <w:szCs w:val="13"/>
                <w:color w:val="004876"/>
              </w:rPr>
              <w:t>Location: www.virtualshareholdermeeting.com/MNTK2026</w:t>
            </w:r>
          </w:p>
        </w:tc>
        <w:tc>
          <w:tcPr>
            <w:tcW w:w="0" w:type="dxa"/>
            <w:vAlign w:val="bottom"/>
          </w:tcPr>
          <w:p>
            <w:pPr>
              <w:spacing w:after="0"/>
              <w:rPr>
                <w:sz w:val="1"/>
                <w:szCs w:val="1"/>
                <w:color w:val="auto"/>
              </w:rPr>
            </w:pPr>
          </w:p>
        </w:tc>
      </w:tr>
      <w:tr>
        <w:trPr>
          <w:trHeight w:val="147"/>
        </w:trPr>
        <w:tc>
          <w:tcPr>
            <w:tcW w:w="3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 xml:space="preserve">                                     </w:t>
            </w:r>
          </w:p>
        </w:tc>
        <w:tc>
          <w:tcPr>
            <w:tcW w:w="4780" w:type="dxa"/>
            <w:vAlign w:val="bottom"/>
          </w:tcPr>
          <w:p>
            <w:pPr>
              <w:jc w:val="center"/>
              <w:ind w:left="1335"/>
              <w:spacing w:after="0" w:line="148" w:lineRule="exact"/>
              <w:rPr>
                <w:sz w:val="20"/>
                <w:szCs w:val="20"/>
                <w:color w:val="auto"/>
              </w:rPr>
            </w:pPr>
            <w:r>
              <w:rPr>
                <w:rFonts w:ascii="Arial" w:cs="Arial" w:eastAsia="Arial" w:hAnsi="Arial"/>
                <w:sz w:val="13"/>
                <w:szCs w:val="13"/>
                <w:color w:val="004876"/>
                <w:w w:val="99"/>
              </w:rPr>
              <w:t>Vote by May 25, 2026</w:t>
            </w:r>
          </w:p>
        </w:tc>
        <w:tc>
          <w:tcPr>
            <w:tcW w:w="0" w:type="dxa"/>
            <w:vAlign w:val="bottom"/>
          </w:tcPr>
          <w:p>
            <w:pPr>
              <w:spacing w:after="0"/>
              <w:rPr>
                <w:sz w:val="1"/>
                <w:szCs w:val="1"/>
                <w:color w:val="auto"/>
              </w:rPr>
            </w:pPr>
          </w:p>
        </w:tc>
      </w:tr>
      <w:tr>
        <w:trPr>
          <w:trHeight w:val="252"/>
        </w:trPr>
        <w:tc>
          <w:tcPr>
            <w:tcW w:w="3820" w:type="dxa"/>
            <w:vAlign w:val="bottom"/>
            <w:vMerge w:val="continue"/>
          </w:tcPr>
          <w:p>
            <w:pPr>
              <w:spacing w:after="0"/>
              <w:rPr>
                <w:sz w:val="21"/>
                <w:szCs w:val="21"/>
                <w:color w:val="auto"/>
              </w:rPr>
            </w:pPr>
          </w:p>
        </w:tc>
        <w:tc>
          <w:tcPr>
            <w:tcW w:w="4780" w:type="dxa"/>
            <w:vAlign w:val="bottom"/>
          </w:tcPr>
          <w:p>
            <w:pPr>
              <w:jc w:val="center"/>
              <w:ind w:left="1335"/>
              <w:spacing w:after="0"/>
              <w:rPr>
                <w:sz w:val="20"/>
                <w:szCs w:val="20"/>
                <w:color w:val="auto"/>
              </w:rPr>
            </w:pPr>
            <w:r>
              <w:rPr>
                <w:rFonts w:ascii="Arial" w:cs="Arial" w:eastAsia="Arial" w:hAnsi="Arial"/>
                <w:sz w:val="13"/>
                <w:szCs w:val="13"/>
                <w:color w:val="004876"/>
                <w:w w:val="99"/>
              </w:rPr>
              <w:t>11:59 PM Eastern Daylight Time</w:t>
            </w:r>
          </w:p>
        </w:tc>
        <w:tc>
          <w:tcPr>
            <w:tcW w:w="0" w:type="dxa"/>
            <w:vAlign w:val="bottom"/>
          </w:tcPr>
          <w:p>
            <w:pPr>
              <w:spacing w:after="0"/>
              <w:rPr>
                <w:sz w:val="1"/>
                <w:szCs w:val="1"/>
                <w:color w:val="auto"/>
              </w:rPr>
            </w:pPr>
          </w:p>
        </w:tc>
      </w:tr>
      <w:tr>
        <w:trPr>
          <w:trHeight w:val="632"/>
        </w:trPr>
        <w:tc>
          <w:tcPr>
            <w:tcW w:w="3820" w:type="dxa"/>
            <w:vAlign w:val="bottom"/>
          </w:tcPr>
          <w:p>
            <w:pPr>
              <w:ind w:left="420"/>
              <w:spacing w:after="0"/>
              <w:rPr>
                <w:sz w:val="20"/>
                <w:szCs w:val="20"/>
                <w:color w:val="auto"/>
              </w:rPr>
            </w:pPr>
            <w:r>
              <w:rPr>
                <w:rFonts w:ascii="Arial" w:cs="Arial" w:eastAsia="Arial" w:hAnsi="Arial"/>
                <w:sz w:val="8"/>
                <w:szCs w:val="8"/>
                <w:color w:val="004876"/>
              </w:rPr>
              <w:t>MONTAUK RENEWABLES, INC.</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820" w:type="dxa"/>
            <w:vAlign w:val="bottom"/>
          </w:tcPr>
          <w:p>
            <w:pPr>
              <w:ind w:left="420"/>
              <w:spacing w:after="0" w:line="86" w:lineRule="exact"/>
              <w:rPr>
                <w:sz w:val="20"/>
                <w:szCs w:val="20"/>
                <w:color w:val="auto"/>
              </w:rPr>
            </w:pPr>
            <w:r>
              <w:rPr>
                <w:rFonts w:ascii="Arial" w:cs="Arial" w:eastAsia="Arial" w:hAnsi="Arial"/>
                <w:sz w:val="8"/>
                <w:szCs w:val="8"/>
                <w:color w:val="004876"/>
              </w:rPr>
              <w:t>5313 CAMPBELLS RUN ROAD, SUITE 200</w:t>
            </w:r>
          </w:p>
        </w:tc>
        <w:tc>
          <w:tcPr>
            <w:tcW w:w="4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820" w:type="dxa"/>
            <w:vAlign w:val="bottom"/>
          </w:tcPr>
          <w:p>
            <w:pPr>
              <w:ind w:left="420"/>
              <w:spacing w:after="0"/>
              <w:rPr>
                <w:sz w:val="20"/>
                <w:szCs w:val="20"/>
                <w:color w:val="auto"/>
              </w:rPr>
            </w:pPr>
            <w:r>
              <w:rPr>
                <w:rFonts w:ascii="Arial" w:cs="Arial" w:eastAsia="Arial" w:hAnsi="Arial"/>
                <w:sz w:val="8"/>
                <w:szCs w:val="8"/>
                <w:color w:val="004876"/>
              </w:rPr>
              <w:t>PITTSBURGH, PA 15205</w:t>
            </w: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-530860</wp:posOffset>
            </wp:positionV>
            <wp:extent cx="1107440" cy="296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7440" cy="296545"/>
                    </a:xfrm>
                    <a:prstGeom prst="rect">
                      <a:avLst/>
                    </a:prstGeom>
                    <a:noFill/>
                  </pic:spPr>
                </pic:pic>
              </a:graphicData>
            </a:graphic>
          </wp:anchor>
        </w:drawing>
        <w:drawing>
          <wp:anchor simplePos="0" relativeHeight="251657728" behindDoc="1" locked="0" layoutInCell="0" allowOverlap="1">
            <wp:simplePos x="0" y="0"/>
            <wp:positionH relativeFrom="column">
              <wp:posOffset>3454400</wp:posOffset>
            </wp:positionH>
            <wp:positionV relativeFrom="paragraph">
              <wp:posOffset>-554355</wp:posOffset>
            </wp:positionV>
            <wp:extent cx="2261870" cy="171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1870" cy="171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 xml:space="preserve">     </w:t>
      </w:r>
    </w:p>
    <w:p>
      <w:pPr>
        <w:ind w:left="867"/>
        <w:spacing w:after="0"/>
        <w:rPr>
          <w:sz w:val="20"/>
          <w:szCs w:val="20"/>
          <w:color w:val="auto"/>
        </w:rPr>
      </w:pPr>
      <w:r>
        <w:rPr>
          <w:rFonts w:ascii="Arial" w:cs="Arial" w:eastAsia="Arial" w:hAnsi="Arial"/>
          <w:sz w:val="11"/>
          <w:szCs w:val="11"/>
          <w:color w:val="auto"/>
        </w:rPr>
        <w:t>V91958-P46019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1270</wp:posOffset>
            </wp:positionV>
            <wp:extent cx="46990" cy="241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990" cy="241935"/>
                    </a:xfrm>
                    <a:prstGeom prst="rect">
                      <a:avLst/>
                    </a:prstGeom>
                    <a:noFill/>
                  </pic:spPr>
                </pic:pic>
              </a:graphicData>
            </a:graphic>
          </wp:anchor>
        </w:drawing>
      </w:r>
    </w:p>
    <w:tbl>
      <w:tblPr>
        <w:tblLayout w:type="fixed"/>
        <w:tblInd w:w="5007" w:type="dxa"/>
        <w:tblCellMar>
          <w:top w:w="0" w:type="dxa"/>
          <w:left w:w="0" w:type="dxa"/>
          <w:bottom w:w="0" w:type="dxa"/>
          <w:right w:w="0" w:type="dxa"/>
        </w:tblCellMar>
      </w:tblPr>
      <w:tr>
        <w:trPr>
          <w:trHeight w:val="272"/>
        </w:trPr>
        <w:tc>
          <w:tcPr>
            <w:tcW w:w="2340" w:type="dxa"/>
            <w:vAlign w:val="bottom"/>
          </w:tcPr>
          <w:p>
            <w:pPr>
              <w:spacing w:after="0" w:line="261" w:lineRule="exact"/>
              <w:rPr>
                <w:sz w:val="20"/>
                <w:szCs w:val="20"/>
                <w:color w:val="auto"/>
              </w:rPr>
            </w:pPr>
            <w:r>
              <w:rPr>
                <w:rFonts w:ascii="Arial" w:cs="Arial" w:eastAsia="Arial" w:hAnsi="Arial"/>
                <w:sz w:val="23"/>
                <w:szCs w:val="23"/>
                <w:color w:val="auto"/>
              </w:rPr>
              <w:t xml:space="preserve">                     </w:t>
            </w:r>
          </w:p>
        </w:tc>
        <w:tc>
          <w:tcPr>
            <w:tcW w:w="2140" w:type="dxa"/>
            <w:vAlign w:val="bottom"/>
            <w:gridSpan w:val="2"/>
            <w:shd w:val="clear" w:color="auto" w:fill="004876"/>
          </w:tcPr>
          <w:p>
            <w:pPr>
              <w:jc w:val="center"/>
              <w:ind w:right="1971"/>
              <w:spacing w:after="0"/>
              <w:rPr>
                <w:sz w:val="20"/>
                <w:szCs w:val="20"/>
                <w:color w:val="auto"/>
              </w:rPr>
            </w:pPr>
            <w:r>
              <w:rPr>
                <w:rFonts w:ascii="Arial" w:cs="Arial" w:eastAsia="Arial" w:hAnsi="Arial"/>
                <w:sz w:val="13"/>
                <w:szCs w:val="13"/>
                <w:color w:val="auto"/>
                <w:w w:val="71"/>
              </w:rPr>
              <w:t>  </w:t>
            </w:r>
          </w:p>
        </w:tc>
      </w:tr>
      <w:tr>
        <w:trPr>
          <w:trHeight w:val="111"/>
        </w:trPr>
        <w:tc>
          <w:tcPr>
            <w:tcW w:w="2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shd w:val="clear" w:color="auto" w:fill="004876"/>
          </w:tcPr>
          <w:p>
            <w:pPr>
              <w:jc w:val="center"/>
              <w:ind w:right="1991"/>
              <w:spacing w:after="0" w:line="111" w:lineRule="exact"/>
              <w:rPr>
                <w:sz w:val="20"/>
                <w:szCs w:val="20"/>
                <w:color w:val="auto"/>
              </w:rPr>
            </w:pPr>
            <w:r>
              <w:rPr>
                <w:rFonts w:ascii="Arial" w:cs="Arial" w:eastAsia="Arial" w:hAnsi="Arial"/>
                <w:sz w:val="10"/>
                <w:szCs w:val="10"/>
                <w:color w:val="auto"/>
                <w:w w:val="71"/>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-124460</wp:posOffset>
            </wp:positionV>
            <wp:extent cx="1006475" cy="78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6475" cy="78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-105410</wp:posOffset>
            </wp:positionV>
            <wp:extent cx="273050" cy="1560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305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127000</wp:posOffset>
            </wp:positionV>
            <wp:extent cx="273050" cy="1177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050" cy="1177925"/>
                    </a:xfrm>
                    <a:prstGeom prst="rect">
                      <a:avLst/>
                    </a:prstGeom>
                    <a:noFill/>
                  </pic:spPr>
                </pic:pic>
              </a:graphicData>
            </a:graphic>
          </wp:anchor>
        </w:drawing>
      </w:r>
    </w:p>
    <w:p>
      <w:pPr>
        <w:spacing w:after="0" w:line="2164" w:lineRule="exact"/>
        <w:rPr>
          <w:sz w:val="20"/>
          <w:szCs w:val="20"/>
          <w:color w:val="auto"/>
        </w:rPr>
      </w:pPr>
    </w:p>
    <w:p>
      <w:pPr>
        <w:sectPr>
          <w:pgSz w:w="11900" w:h="16838" w:orient="portrait"/>
          <w:cols w:equalWidth="0" w:num="2">
            <w:col w:w="9487" w:space="180"/>
            <w:col w:w="260"/>
          </w:cols>
          <w:pgMar w:left="1033" w:top="524" w:right="939" w:bottom="1440" w:gutter="0" w:footer="0" w:header="0"/>
        </w:sectPr>
      </w:pPr>
    </w:p>
    <w:p>
      <w:pPr>
        <w:ind w:left="7"/>
        <w:spacing w:after="0"/>
        <w:rPr>
          <w:sz w:val="20"/>
          <w:szCs w:val="20"/>
          <w:color w:val="auto"/>
        </w:rPr>
      </w:pPr>
      <w:r>
        <w:rPr>
          <w:rFonts w:ascii="Arial" w:cs="Arial" w:eastAsia="Arial" w:hAnsi="Arial"/>
          <w:sz w:val="25"/>
          <w:szCs w:val="25"/>
          <w:color w:val="004876"/>
        </w:rPr>
        <w:t>You invested in MONTAUK RENEWABLES, INC. and it’s time to vote!</w:t>
      </w:r>
    </w:p>
    <w:p>
      <w:pPr>
        <w:spacing w:after="0" w:line="1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4876"/>
        </w:rPr>
        <w:t>Important Notice Regarding the Availability of Proxy Materials for the Stockholder Meeting To Be Held on May 26, 2026</w:t>
      </w:r>
      <w:r>
        <w:rPr>
          <w:rFonts w:ascii="Arial" w:cs="Arial" w:eastAsia="Arial" w:hAnsi="Arial"/>
          <w:sz w:val="16"/>
          <w:szCs w:val="16"/>
          <w:color w:val="004876"/>
        </w:rPr>
        <w:t>.</w:t>
      </w:r>
    </w:p>
    <w:p>
      <w:pPr>
        <w:ind w:left="7"/>
        <w:spacing w:after="0"/>
        <w:rPr>
          <w:sz w:val="20"/>
          <w:szCs w:val="20"/>
          <w:color w:val="auto"/>
        </w:rPr>
      </w:pPr>
      <w:r>
        <w:rPr>
          <w:rFonts w:ascii="Arial" w:cs="Arial" w:eastAsia="Arial" w:hAnsi="Arial"/>
          <w:sz w:val="16"/>
          <w:szCs w:val="16"/>
          <w:color w:val="004876"/>
        </w:rPr>
        <w:t>You have the right to vote on proposals being presented at the Annual Meeting.</w:t>
      </w:r>
    </w:p>
    <w:p>
      <w:pPr>
        <w:spacing w:after="0" w:line="37" w:lineRule="exact"/>
        <w:rPr>
          <w:sz w:val="20"/>
          <w:szCs w:val="20"/>
          <w:color w:val="auto"/>
        </w:rPr>
      </w:pPr>
    </w:p>
    <w:p>
      <w:pPr>
        <w:ind w:left="7"/>
        <w:spacing w:after="0"/>
        <w:rPr>
          <w:sz w:val="20"/>
          <w:szCs w:val="20"/>
          <w:color w:val="auto"/>
        </w:rPr>
      </w:pPr>
      <w:r>
        <w:rPr>
          <w:rFonts w:ascii="Arial" w:cs="Arial" w:eastAsia="Arial" w:hAnsi="Arial"/>
          <w:sz w:val="25"/>
          <w:szCs w:val="25"/>
          <w:color w:val="004876"/>
        </w:rPr>
        <w:t>Get informed before you vote</w:t>
      </w:r>
    </w:p>
    <w:p>
      <w:pPr>
        <w:spacing w:after="0" w:line="19" w:lineRule="exact"/>
        <w:rPr>
          <w:sz w:val="20"/>
          <w:szCs w:val="20"/>
          <w:color w:val="auto"/>
        </w:rPr>
      </w:pPr>
    </w:p>
    <w:p>
      <w:pPr>
        <w:jc w:val="both"/>
        <w:ind w:left="7"/>
        <w:spacing w:after="0"/>
        <w:rPr>
          <w:sz w:val="20"/>
          <w:szCs w:val="20"/>
          <w:color w:val="auto"/>
        </w:rPr>
      </w:pPr>
      <w:r>
        <w:rPr>
          <w:rFonts w:ascii="Arial" w:cs="Arial" w:eastAsia="Arial" w:hAnsi="Arial"/>
          <w:sz w:val="16"/>
          <w:szCs w:val="16"/>
          <w:color w:val="004876"/>
        </w:rPr>
        <w:t>View the Notice and Proxy Statement and Annual Report on Form 10-K for the fiscal year ended December 31, 2025 online at www.ProxyVote.com OR you can receive a free paper or e-mail copy of the material(s) by requesting prior to May 12, 2026. If you would like to request a copy of the material(s) for this and/or future stockholder meetings, at no charge, you may (1) visit www.ProxyVote.com,</w:t>
      </w:r>
    </w:p>
    <w:p>
      <w:pPr>
        <w:spacing w:after="0" w:line="1" w:lineRule="exact"/>
        <w:rPr>
          <w:sz w:val="20"/>
          <w:szCs w:val="20"/>
          <w:color w:val="auto"/>
        </w:rPr>
      </w:pPr>
    </w:p>
    <w:p>
      <w:pPr>
        <w:jc w:val="both"/>
        <w:ind w:left="7" w:hanging="7"/>
        <w:spacing w:after="0" w:line="247" w:lineRule="auto"/>
        <w:tabs>
          <w:tab w:leader="none" w:pos="265" w:val="left"/>
        </w:tabs>
        <w:numPr>
          <w:ilvl w:val="0"/>
          <w:numId w:val="6"/>
        </w:numPr>
        <w:rPr>
          <w:rFonts w:ascii="Arial" w:cs="Arial" w:eastAsia="Arial" w:hAnsi="Arial"/>
          <w:sz w:val="16"/>
          <w:szCs w:val="16"/>
          <w:color w:val="004876"/>
        </w:rPr>
      </w:pPr>
      <w:r>
        <w:rPr>
          <w:rFonts w:ascii="Arial" w:cs="Arial" w:eastAsia="Arial" w:hAnsi="Arial"/>
          <w:sz w:val="16"/>
          <w:szCs w:val="16"/>
          <w:color w:val="004876"/>
        </w:rPr>
        <w:t>call 1-800-579-1639 or (3) send an email to sendmaterial@proxyvote.com. You will not otherwise receive a paper or e-mail copy. If sending an email, please include your control number (indicated below) in the subject line. Unless requested, you will not otherwise receive a paper copy or email copy. Requests, instructions and other inquiries sent to this e-mail address will NOT be forwarded to your investment advisor.</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6"/>
          <w:szCs w:val="16"/>
          <w:color w:val="004876"/>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34290</wp:posOffset>
            </wp:positionV>
            <wp:extent cx="6364605" cy="2308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4605" cy="2308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
        <w:spacing w:after="0"/>
        <w:rPr>
          <w:sz w:val="20"/>
          <w:szCs w:val="20"/>
          <w:color w:val="auto"/>
        </w:rPr>
      </w:pPr>
      <w:r>
        <w:rPr>
          <w:rFonts w:ascii="Arial" w:cs="Arial" w:eastAsia="Arial" w:hAnsi="Arial"/>
          <w:sz w:val="13"/>
          <w:szCs w:val="13"/>
          <w:color w:val="004876"/>
        </w:rPr>
        <w:t>* Please check the meeting materials for any special requirements for meeting attendance.</w:t>
      </w:r>
    </w:p>
    <w:p>
      <w:pPr>
        <w:sectPr>
          <w:pgSz w:w="11900" w:h="16838" w:orient="portrait"/>
          <w:cols w:equalWidth="0" w:num="1">
            <w:col w:w="9927"/>
          </w:cols>
          <w:pgMar w:left="1033" w:top="524" w:right="939"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25"/>
          <w:szCs w:val="25"/>
          <w:b w:val="1"/>
          <w:bCs w:val="1"/>
          <w:color w:val="007BB6"/>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5660" cy="36195"/>
                    </a:xfrm>
                    <a:prstGeom prst="rect">
                      <a:avLst/>
                    </a:prstGeom>
                    <a:noFill/>
                  </pic:spPr>
                </pic:pic>
              </a:graphicData>
            </a:graphic>
          </wp:anchor>
        </w:drawing>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636460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4605" cy="469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80"/>
        <w:spacing w:after="0"/>
        <w:rPr>
          <w:sz w:val="20"/>
          <w:szCs w:val="20"/>
          <w:color w:val="auto"/>
        </w:rPr>
      </w:pPr>
      <w:r>
        <w:rPr>
          <w:rFonts w:ascii="Arial" w:cs="Arial" w:eastAsia="Arial" w:hAnsi="Arial"/>
          <w:sz w:val="26"/>
          <w:szCs w:val="26"/>
          <w:b w:val="1"/>
          <w:bCs w:val="1"/>
          <w:color w:val="004876"/>
        </w:rPr>
        <w:t>THIS IS NOT A VOTABLE BALLOT</w:t>
      </w:r>
    </w:p>
    <w:p>
      <w:pPr>
        <w:spacing w:after="0" w:line="242" w:lineRule="exact"/>
        <w:rPr>
          <w:sz w:val="20"/>
          <w:szCs w:val="20"/>
          <w:color w:val="auto"/>
        </w:rPr>
      </w:pPr>
    </w:p>
    <w:p>
      <w:pPr>
        <w:ind w:left="80"/>
        <w:spacing w:after="0"/>
        <w:rPr>
          <w:sz w:val="20"/>
          <w:szCs w:val="20"/>
          <w:color w:val="auto"/>
        </w:rPr>
      </w:pPr>
      <w:r>
        <w:rPr>
          <w:rFonts w:ascii="Arial" w:cs="Arial" w:eastAsia="Arial" w:hAnsi="Arial"/>
          <w:sz w:val="16"/>
          <w:szCs w:val="16"/>
          <w:color w:val="004877"/>
        </w:rPr>
        <w:t>You cannot use this notice to vote the shares. This communication</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004877"/>
        </w:rPr>
        <w:t>presents only an overview of the more complete proxy materials</w:t>
      </w:r>
    </w:p>
    <w:p>
      <w:pPr>
        <w:ind w:left="80"/>
        <w:spacing w:after="0"/>
        <w:rPr>
          <w:sz w:val="20"/>
          <w:szCs w:val="20"/>
          <w:color w:val="auto"/>
        </w:rPr>
      </w:pPr>
      <w:r>
        <w:rPr>
          <w:rFonts w:ascii="Arial" w:cs="Arial" w:eastAsia="Arial" w:hAnsi="Arial"/>
          <w:sz w:val="16"/>
          <w:szCs w:val="16"/>
          <w:color w:val="004877"/>
        </w:rPr>
        <w:t>that are available to you on the internet or by mail. You may view</w:t>
      </w:r>
    </w:p>
    <w:p>
      <w:pPr>
        <w:ind w:left="80"/>
        <w:spacing w:after="0"/>
        <w:rPr>
          <w:sz w:val="20"/>
          <w:szCs w:val="20"/>
          <w:color w:val="auto"/>
        </w:rPr>
      </w:pPr>
      <w:r>
        <w:rPr>
          <w:rFonts w:ascii="Arial" w:cs="Arial" w:eastAsia="Arial" w:hAnsi="Arial"/>
          <w:sz w:val="16"/>
          <w:szCs w:val="16"/>
          <w:color w:val="004877"/>
        </w:rPr>
        <w:t>the proxy materials online at www.proxyvote.com or easily request a</w:t>
      </w:r>
    </w:p>
    <w:p>
      <w:pPr>
        <w:ind w:left="80"/>
        <w:spacing w:after="0"/>
        <w:rPr>
          <w:sz w:val="20"/>
          <w:szCs w:val="20"/>
          <w:color w:val="auto"/>
        </w:rPr>
      </w:pPr>
      <w:r>
        <w:rPr>
          <w:rFonts w:ascii="Arial" w:cs="Arial" w:eastAsia="Arial" w:hAnsi="Arial"/>
          <w:sz w:val="16"/>
          <w:szCs w:val="16"/>
          <w:color w:val="004877"/>
        </w:rPr>
        <w:t>paper copy (see the reverse side). We encourage you to access</w:t>
      </w:r>
    </w:p>
    <w:p>
      <w:pPr>
        <w:ind w:left="80"/>
        <w:spacing w:after="0"/>
        <w:rPr>
          <w:sz w:val="20"/>
          <w:szCs w:val="20"/>
          <w:color w:val="auto"/>
        </w:rPr>
      </w:pPr>
      <w:r>
        <w:rPr>
          <w:rFonts w:ascii="Arial" w:cs="Arial" w:eastAsia="Arial" w:hAnsi="Arial"/>
          <w:sz w:val="16"/>
          <w:szCs w:val="16"/>
          <w:color w:val="004877"/>
        </w:rPr>
        <w:t>and review all of the important information contained in the proxy</w:t>
      </w:r>
    </w:p>
    <w:p>
      <w:pPr>
        <w:ind w:left="80"/>
        <w:spacing w:after="0"/>
        <w:rPr>
          <w:sz w:val="20"/>
          <w:szCs w:val="20"/>
          <w:color w:val="auto"/>
        </w:rPr>
      </w:pPr>
      <w:r>
        <w:rPr>
          <w:rFonts w:ascii="Arial" w:cs="Arial" w:eastAsia="Arial" w:hAnsi="Arial"/>
          <w:sz w:val="16"/>
          <w:szCs w:val="16"/>
          <w:color w:val="004877"/>
        </w:rPr>
        <w:t>materials before voting.</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180" w:type="dxa"/>
            <w:vAlign w:val="bottom"/>
          </w:tcPr>
          <w:p>
            <w:pPr>
              <w:jc w:val="center"/>
              <w:ind w:left="1"/>
              <w:spacing w:after="0"/>
              <w:rPr>
                <w:sz w:val="20"/>
                <w:szCs w:val="20"/>
                <w:color w:val="auto"/>
              </w:rPr>
            </w:pPr>
            <w:r>
              <w:rPr>
                <w:rFonts w:ascii="Arial" w:cs="Arial" w:eastAsia="Arial" w:hAnsi="Arial"/>
                <w:sz w:val="15"/>
                <w:szCs w:val="15"/>
                <w:b w:val="1"/>
                <w:bCs w:val="1"/>
                <w:color w:val="004876"/>
                <w:w w:val="96"/>
              </w:rPr>
              <w:t>Board</w:t>
            </w:r>
          </w:p>
        </w:tc>
        <w:tc>
          <w:tcPr>
            <w:tcW w:w="0" w:type="dxa"/>
            <w:vAlign w:val="bottom"/>
          </w:tcPr>
          <w:p>
            <w:pPr>
              <w:spacing w:after="0"/>
              <w:rPr>
                <w:sz w:val="1"/>
                <w:szCs w:val="1"/>
                <w:color w:val="auto"/>
              </w:rPr>
            </w:pPr>
          </w:p>
        </w:tc>
      </w:tr>
      <w:tr>
        <w:trPr>
          <w:trHeight w:val="197"/>
        </w:trPr>
        <w:tc>
          <w:tcPr>
            <w:tcW w:w="8840" w:type="dxa"/>
            <w:vAlign w:val="bottom"/>
            <w:gridSpan w:val="2"/>
          </w:tcPr>
          <w:p>
            <w:pPr>
              <w:spacing w:after="0"/>
              <w:rPr>
                <w:sz w:val="20"/>
                <w:szCs w:val="20"/>
                <w:color w:val="auto"/>
              </w:rPr>
            </w:pPr>
            <w:r>
              <w:rPr>
                <w:rFonts w:ascii="Arial" w:cs="Arial" w:eastAsia="Arial" w:hAnsi="Arial"/>
                <w:sz w:val="15"/>
                <w:szCs w:val="15"/>
                <w:b w:val="1"/>
                <w:bCs w:val="1"/>
                <w:color w:val="004876"/>
              </w:rPr>
              <w:t> Voting Items</w:t>
            </w:r>
          </w:p>
        </w:tc>
        <w:tc>
          <w:tcPr>
            <w:tcW w:w="1180" w:type="dxa"/>
            <w:vAlign w:val="bottom"/>
          </w:tcPr>
          <w:p>
            <w:pPr>
              <w:jc w:val="center"/>
              <w:ind w:left="1"/>
              <w:spacing w:after="0"/>
              <w:rPr>
                <w:sz w:val="20"/>
                <w:szCs w:val="20"/>
                <w:color w:val="auto"/>
              </w:rPr>
            </w:pPr>
            <w:r>
              <w:rPr>
                <w:rFonts w:ascii="Arial" w:cs="Arial" w:eastAsia="Arial" w:hAnsi="Arial"/>
                <w:sz w:val="15"/>
                <w:szCs w:val="15"/>
                <w:b w:val="1"/>
                <w:bCs w:val="1"/>
                <w:color w:val="004876"/>
                <w:w w:val="99"/>
              </w:rPr>
              <w:t>Recommends</w:t>
            </w:r>
          </w:p>
        </w:tc>
        <w:tc>
          <w:tcPr>
            <w:tcW w:w="0" w:type="dxa"/>
            <w:vAlign w:val="bottom"/>
          </w:tcPr>
          <w:p>
            <w:pPr>
              <w:spacing w:after="0"/>
              <w:rPr>
                <w:sz w:val="1"/>
                <w:szCs w:val="1"/>
                <w:color w:val="auto"/>
              </w:rPr>
            </w:pPr>
          </w:p>
        </w:tc>
      </w:tr>
      <w:tr>
        <w:trPr>
          <w:trHeight w:val="217"/>
        </w:trPr>
        <w:tc>
          <w:tcPr>
            <w:tcW w:w="300" w:type="dxa"/>
            <w:vAlign w:val="bottom"/>
            <w:shd w:val="clear" w:color="auto" w:fill="F0EFF7"/>
          </w:tcPr>
          <w:p>
            <w:pPr>
              <w:spacing w:after="0"/>
              <w:rPr>
                <w:sz w:val="20"/>
                <w:szCs w:val="20"/>
                <w:color w:val="auto"/>
              </w:rPr>
            </w:pPr>
            <w:r>
              <w:rPr>
                <w:rFonts w:ascii="Arial" w:cs="Arial" w:eastAsia="Arial" w:hAnsi="Arial"/>
                <w:sz w:val="16"/>
                <w:szCs w:val="16"/>
                <w:color w:val="004876"/>
              </w:rPr>
              <w:t> 1.</w:t>
            </w:r>
          </w:p>
        </w:tc>
        <w:tc>
          <w:tcPr>
            <w:tcW w:w="8540" w:type="dxa"/>
            <w:vAlign w:val="bottom"/>
            <w:tcBorders>
              <w:right w:val="single" w:sz="8" w:color="004876"/>
            </w:tcBorders>
            <w:shd w:val="clear" w:color="auto" w:fill="F0EFF7"/>
          </w:tcPr>
          <w:p>
            <w:pPr>
              <w:ind w:left="120"/>
              <w:spacing w:after="0"/>
              <w:rPr>
                <w:sz w:val="20"/>
                <w:szCs w:val="20"/>
                <w:color w:val="auto"/>
              </w:rPr>
            </w:pPr>
            <w:r>
              <w:rPr>
                <w:rFonts w:ascii="Arial" w:cs="Arial" w:eastAsia="Arial" w:hAnsi="Arial"/>
                <w:sz w:val="16"/>
                <w:szCs w:val="16"/>
                <w:color w:val="004876"/>
              </w:rPr>
              <w:t>Election of two nominees to the Board of Directors to serve as Class III directors for a three-year term expiring at</w:t>
            </w:r>
          </w:p>
        </w:tc>
        <w:tc>
          <w:tcPr>
            <w:tcW w:w="1180" w:type="dxa"/>
            <w:vAlign w:val="bottom"/>
            <w:shd w:val="clear" w:color="auto" w:fill="F0EF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F0EFF7"/>
          </w:tcPr>
          <w:p>
            <w:pPr>
              <w:spacing w:after="0"/>
              <w:rPr>
                <w:sz w:val="18"/>
                <w:szCs w:val="18"/>
                <w:color w:val="auto"/>
              </w:rPr>
            </w:pPr>
          </w:p>
        </w:tc>
        <w:tc>
          <w:tcPr>
            <w:tcW w:w="8540" w:type="dxa"/>
            <w:vAlign w:val="bottom"/>
            <w:tcBorders>
              <w:right w:val="single" w:sz="8" w:color="004876"/>
            </w:tcBorders>
            <w:shd w:val="clear" w:color="auto" w:fill="F0EFF7"/>
          </w:tcPr>
          <w:p>
            <w:pPr>
              <w:ind w:left="120"/>
              <w:spacing w:after="0"/>
              <w:rPr>
                <w:sz w:val="20"/>
                <w:szCs w:val="20"/>
                <w:color w:val="auto"/>
              </w:rPr>
            </w:pPr>
            <w:r>
              <w:rPr>
                <w:rFonts w:ascii="Arial" w:cs="Arial" w:eastAsia="Arial" w:hAnsi="Arial"/>
                <w:sz w:val="16"/>
                <w:szCs w:val="16"/>
                <w:color w:val="004876"/>
              </w:rPr>
              <w:t>the 2029 Annual Meeting of Stockholders.</w:t>
            </w:r>
          </w:p>
        </w:tc>
        <w:tc>
          <w:tcPr>
            <w:tcW w:w="1180" w:type="dxa"/>
            <w:vAlign w:val="bottom"/>
            <w:shd w:val="clear" w:color="auto" w:fill="F0EFF7"/>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00" w:type="dxa"/>
            <w:vAlign w:val="bottom"/>
            <w:tcBorders>
              <w:bottom w:val="single" w:sz="8" w:color="F0EFF7"/>
            </w:tcBorders>
            <w:shd w:val="clear" w:color="auto" w:fill="F0EFF7"/>
          </w:tcPr>
          <w:p>
            <w:pPr>
              <w:spacing w:after="0"/>
              <w:rPr>
                <w:sz w:val="20"/>
                <w:szCs w:val="20"/>
                <w:color w:val="auto"/>
              </w:rPr>
            </w:pPr>
            <w:r>
              <w:rPr>
                <w:rFonts w:ascii="Arial" w:cs="Arial" w:eastAsia="Arial" w:hAnsi="Arial"/>
                <w:sz w:val="16"/>
                <w:szCs w:val="16"/>
                <w:color w:val="004876"/>
              </w:rPr>
              <w:t> 1a.</w:t>
            </w:r>
          </w:p>
        </w:tc>
        <w:tc>
          <w:tcPr>
            <w:tcW w:w="8540" w:type="dxa"/>
            <w:vAlign w:val="bottom"/>
            <w:tcBorders>
              <w:bottom w:val="single" w:sz="8" w:color="F0EFF7"/>
              <w:right w:val="single" w:sz="8" w:color="004876"/>
            </w:tcBorders>
            <w:shd w:val="clear" w:color="auto" w:fill="F0EFF7"/>
          </w:tcPr>
          <w:p>
            <w:pPr>
              <w:ind w:left="120"/>
              <w:spacing w:after="0"/>
              <w:rPr>
                <w:sz w:val="20"/>
                <w:szCs w:val="20"/>
                <w:color w:val="auto"/>
              </w:rPr>
            </w:pPr>
            <w:r>
              <w:rPr>
                <w:rFonts w:ascii="Arial" w:cs="Arial" w:eastAsia="Arial" w:hAnsi="Arial"/>
                <w:sz w:val="16"/>
                <w:szCs w:val="16"/>
                <w:color w:val="004876"/>
              </w:rPr>
              <w:t>Jennifer Cunningham</w:t>
            </w:r>
          </w:p>
        </w:tc>
        <w:tc>
          <w:tcPr>
            <w:tcW w:w="1180" w:type="dxa"/>
            <w:vAlign w:val="bottom"/>
            <w:tcBorders>
              <w:bottom w:val="single" w:sz="8" w:color="F0EFF7"/>
            </w:tcBorders>
            <w:shd w:val="clear" w:color="auto" w:fill="F0EFF7"/>
          </w:tcPr>
          <w:p>
            <w:pPr>
              <w:ind w:left="260"/>
              <w:spacing w:after="0"/>
              <w:rPr>
                <w:sz w:val="20"/>
                <w:szCs w:val="20"/>
                <w:color w:val="auto"/>
              </w:rPr>
            </w:pPr>
            <w:r>
              <w:rPr>
                <w:rFonts w:ascii="Arial" w:cs="Arial" w:eastAsia="Arial" w:hAnsi="Arial"/>
                <w:sz w:val="16"/>
                <w:szCs w:val="16"/>
                <w:b w:val="1"/>
                <w:bCs w:val="1"/>
                <w:color w:val="004876"/>
              </w:rPr>
              <w:t xml:space="preserve">  For</w:t>
            </w:r>
          </w:p>
        </w:tc>
        <w:tc>
          <w:tcPr>
            <w:tcW w:w="0" w:type="dxa"/>
            <w:vAlign w:val="bottom"/>
          </w:tcPr>
          <w:p>
            <w:pPr>
              <w:spacing w:after="0"/>
              <w:rPr>
                <w:sz w:val="1"/>
                <w:szCs w:val="1"/>
                <w:color w:val="auto"/>
              </w:rPr>
            </w:pPr>
          </w:p>
        </w:tc>
      </w:tr>
      <w:tr>
        <w:trPr>
          <w:trHeight w:val="304"/>
        </w:trPr>
        <w:tc>
          <w:tcPr>
            <w:tcW w:w="300" w:type="dxa"/>
            <w:vAlign w:val="bottom"/>
            <w:tcBorders>
              <w:top w:val="single" w:sz="8" w:color="004876"/>
              <w:bottom w:val="single" w:sz="8" w:color="F0EFF7"/>
            </w:tcBorders>
            <w:shd w:val="clear" w:color="auto" w:fill="F0EFF7"/>
          </w:tcPr>
          <w:p>
            <w:pPr>
              <w:spacing w:after="0"/>
              <w:rPr>
                <w:sz w:val="20"/>
                <w:szCs w:val="20"/>
                <w:color w:val="auto"/>
              </w:rPr>
            </w:pPr>
            <w:r>
              <w:rPr>
                <w:rFonts w:ascii="Arial" w:cs="Arial" w:eastAsia="Arial" w:hAnsi="Arial"/>
                <w:sz w:val="16"/>
                <w:szCs w:val="16"/>
                <w:color w:val="004876"/>
              </w:rPr>
              <w:t> 1b.</w:t>
            </w:r>
          </w:p>
        </w:tc>
        <w:tc>
          <w:tcPr>
            <w:tcW w:w="8540" w:type="dxa"/>
            <w:vAlign w:val="bottom"/>
            <w:tcBorders>
              <w:top w:val="single" w:sz="8" w:color="004876"/>
              <w:bottom w:val="single" w:sz="8" w:color="F0EFF7"/>
              <w:right w:val="single" w:sz="8" w:color="004876"/>
            </w:tcBorders>
            <w:shd w:val="clear" w:color="auto" w:fill="F0EFF7"/>
          </w:tcPr>
          <w:p>
            <w:pPr>
              <w:ind w:left="120"/>
              <w:spacing w:after="0"/>
              <w:rPr>
                <w:sz w:val="20"/>
                <w:szCs w:val="20"/>
                <w:color w:val="auto"/>
              </w:rPr>
            </w:pPr>
            <w:r>
              <w:rPr>
                <w:rFonts w:ascii="Arial" w:cs="Arial" w:eastAsia="Arial" w:hAnsi="Arial"/>
                <w:sz w:val="16"/>
                <w:szCs w:val="16"/>
                <w:color w:val="004876"/>
              </w:rPr>
              <w:t>Sean F. McClain</w:t>
            </w:r>
          </w:p>
        </w:tc>
        <w:tc>
          <w:tcPr>
            <w:tcW w:w="1180" w:type="dxa"/>
            <w:vAlign w:val="bottom"/>
            <w:tcBorders>
              <w:top w:val="single" w:sz="8" w:color="004876"/>
              <w:bottom w:val="single" w:sz="8" w:color="F0EFF7"/>
            </w:tcBorders>
            <w:shd w:val="clear" w:color="auto" w:fill="F0EFF7"/>
          </w:tcPr>
          <w:p>
            <w:pPr>
              <w:ind w:left="260"/>
              <w:spacing w:after="0"/>
              <w:rPr>
                <w:sz w:val="20"/>
                <w:szCs w:val="20"/>
                <w:color w:val="auto"/>
              </w:rPr>
            </w:pPr>
            <w:r>
              <w:rPr>
                <w:rFonts w:ascii="Arial" w:cs="Arial" w:eastAsia="Arial" w:hAnsi="Arial"/>
                <w:sz w:val="16"/>
                <w:szCs w:val="16"/>
                <w:b w:val="1"/>
                <w:bCs w:val="1"/>
                <w:color w:val="004876"/>
              </w:rPr>
              <w:t xml:space="preserve">  For</w:t>
            </w:r>
          </w:p>
        </w:tc>
        <w:tc>
          <w:tcPr>
            <w:tcW w:w="0" w:type="dxa"/>
            <w:vAlign w:val="bottom"/>
          </w:tcPr>
          <w:p>
            <w:pPr>
              <w:spacing w:after="0"/>
              <w:rPr>
                <w:sz w:val="1"/>
                <w:szCs w:val="1"/>
                <w:color w:val="auto"/>
              </w:rPr>
            </w:pPr>
          </w:p>
        </w:tc>
      </w:tr>
      <w:tr>
        <w:trPr>
          <w:trHeight w:val="197"/>
        </w:trPr>
        <w:tc>
          <w:tcPr>
            <w:tcW w:w="300" w:type="dxa"/>
            <w:vAlign w:val="bottom"/>
            <w:tcBorders>
              <w:top w:val="single" w:sz="8" w:color="004876"/>
            </w:tcBorders>
            <w:shd w:val="clear" w:color="auto" w:fill="F0EFF7"/>
          </w:tcPr>
          <w:p>
            <w:pPr>
              <w:spacing w:after="0"/>
              <w:rPr>
                <w:sz w:val="20"/>
                <w:szCs w:val="20"/>
                <w:color w:val="auto"/>
              </w:rPr>
            </w:pPr>
            <w:r>
              <w:rPr>
                <w:rFonts w:ascii="Arial" w:cs="Arial" w:eastAsia="Arial" w:hAnsi="Arial"/>
                <w:sz w:val="16"/>
                <w:szCs w:val="16"/>
                <w:color w:val="004876"/>
              </w:rPr>
              <w:t> 2.</w:t>
            </w:r>
          </w:p>
        </w:tc>
        <w:tc>
          <w:tcPr>
            <w:tcW w:w="8540" w:type="dxa"/>
            <w:vAlign w:val="bottom"/>
            <w:tcBorders>
              <w:top w:val="single" w:sz="8" w:color="004876"/>
              <w:right w:val="single" w:sz="8" w:color="004876"/>
            </w:tcBorders>
            <w:shd w:val="clear" w:color="auto" w:fill="F0EFF7"/>
          </w:tcPr>
          <w:p>
            <w:pPr>
              <w:ind w:left="120"/>
              <w:spacing w:after="0"/>
              <w:rPr>
                <w:sz w:val="20"/>
                <w:szCs w:val="20"/>
                <w:color w:val="auto"/>
              </w:rPr>
            </w:pPr>
            <w:r>
              <w:rPr>
                <w:rFonts w:ascii="Arial" w:cs="Arial" w:eastAsia="Arial" w:hAnsi="Arial"/>
                <w:sz w:val="16"/>
                <w:szCs w:val="16"/>
                <w:color w:val="004876"/>
              </w:rPr>
              <w:t>Ratification of the appointment of Grant Thornton LLP as the independent registered public accounting firm for the</w:t>
            </w:r>
          </w:p>
        </w:tc>
        <w:tc>
          <w:tcPr>
            <w:tcW w:w="1180" w:type="dxa"/>
            <w:vAlign w:val="bottom"/>
            <w:tcBorders>
              <w:top w:val="single" w:sz="8" w:color="004876"/>
            </w:tcBorders>
            <w:vMerge w:val="restart"/>
            <w:shd w:val="clear" w:color="auto" w:fill="F0EFF7"/>
          </w:tcPr>
          <w:p>
            <w:pPr>
              <w:ind w:left="260"/>
              <w:spacing w:after="0"/>
              <w:rPr>
                <w:sz w:val="20"/>
                <w:szCs w:val="20"/>
                <w:color w:val="auto"/>
              </w:rPr>
            </w:pPr>
            <w:r>
              <w:rPr>
                <w:rFonts w:ascii="Arial" w:cs="Arial" w:eastAsia="Arial" w:hAnsi="Arial"/>
                <w:sz w:val="16"/>
                <w:szCs w:val="16"/>
                <w:b w:val="1"/>
                <w:bCs w:val="1"/>
                <w:color w:val="004876"/>
              </w:rPr>
              <w:t xml:space="preserve">  For</w:t>
            </w:r>
          </w:p>
        </w:tc>
        <w:tc>
          <w:tcPr>
            <w:tcW w:w="0" w:type="dxa"/>
            <w:vAlign w:val="bottom"/>
          </w:tcPr>
          <w:p>
            <w:pPr>
              <w:spacing w:after="0"/>
              <w:rPr>
                <w:sz w:val="1"/>
                <w:szCs w:val="1"/>
                <w:color w:val="auto"/>
              </w:rPr>
            </w:pPr>
          </w:p>
        </w:tc>
      </w:tr>
      <w:tr>
        <w:trPr>
          <w:trHeight w:val="150"/>
        </w:trPr>
        <w:tc>
          <w:tcPr>
            <w:tcW w:w="300" w:type="dxa"/>
            <w:vAlign w:val="bottom"/>
            <w:shd w:val="clear" w:color="auto" w:fill="F0EFF7"/>
          </w:tcPr>
          <w:p>
            <w:pPr>
              <w:spacing w:after="0"/>
              <w:rPr>
                <w:sz w:val="13"/>
                <w:szCs w:val="13"/>
                <w:color w:val="auto"/>
              </w:rPr>
            </w:pPr>
          </w:p>
        </w:tc>
        <w:tc>
          <w:tcPr>
            <w:tcW w:w="8540" w:type="dxa"/>
            <w:vAlign w:val="bottom"/>
            <w:tcBorders>
              <w:right w:val="single" w:sz="8" w:color="004876"/>
            </w:tcBorders>
            <w:vMerge w:val="restart"/>
            <w:shd w:val="clear" w:color="auto" w:fill="F0EFF7"/>
          </w:tcPr>
          <w:p>
            <w:pPr>
              <w:ind w:left="120"/>
              <w:spacing w:after="0"/>
              <w:rPr>
                <w:sz w:val="20"/>
                <w:szCs w:val="20"/>
                <w:color w:val="auto"/>
              </w:rPr>
            </w:pPr>
            <w:r>
              <w:rPr>
                <w:rFonts w:ascii="Arial" w:cs="Arial" w:eastAsia="Arial" w:hAnsi="Arial"/>
                <w:sz w:val="16"/>
                <w:szCs w:val="16"/>
                <w:color w:val="004876"/>
              </w:rPr>
              <w:t>fiscal year ending December 31, 2026.</w:t>
            </w:r>
          </w:p>
        </w:tc>
        <w:tc>
          <w:tcPr>
            <w:tcW w:w="1180" w:type="dxa"/>
            <w:vAlign w:val="bottom"/>
            <w:vMerge w:val="continue"/>
            <w:shd w:val="clear" w:color="auto" w:fill="F0EFF7"/>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00" w:type="dxa"/>
            <w:vAlign w:val="bottom"/>
            <w:tcBorders>
              <w:bottom w:val="single" w:sz="8" w:color="F0EFF7"/>
            </w:tcBorders>
            <w:shd w:val="clear" w:color="auto" w:fill="F0EFF7"/>
          </w:tcPr>
          <w:p>
            <w:pPr>
              <w:spacing w:after="0"/>
              <w:rPr>
                <w:sz w:val="6"/>
                <w:szCs w:val="6"/>
                <w:color w:val="auto"/>
              </w:rPr>
            </w:pPr>
          </w:p>
        </w:tc>
        <w:tc>
          <w:tcPr>
            <w:tcW w:w="8540" w:type="dxa"/>
            <w:vAlign w:val="bottom"/>
            <w:tcBorders>
              <w:bottom w:val="single" w:sz="8" w:color="F0EFF7"/>
              <w:right w:val="single" w:sz="8" w:color="004876"/>
            </w:tcBorders>
            <w:vMerge w:val="continue"/>
            <w:shd w:val="clear" w:color="auto" w:fill="F0EFF7"/>
          </w:tcPr>
          <w:p>
            <w:pPr>
              <w:spacing w:after="0"/>
              <w:rPr>
                <w:sz w:val="6"/>
                <w:szCs w:val="6"/>
                <w:color w:val="auto"/>
              </w:rPr>
            </w:pPr>
          </w:p>
        </w:tc>
        <w:tc>
          <w:tcPr>
            <w:tcW w:w="1180" w:type="dxa"/>
            <w:vAlign w:val="bottom"/>
            <w:tcBorders>
              <w:bottom w:val="single" w:sz="8" w:color="F0EFF7"/>
            </w:tcBorders>
            <w:shd w:val="clear" w:color="auto" w:fill="F0EFF7"/>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4876"/>
          </w:tcPr>
          <w:p>
            <w:pPr>
              <w:spacing w:after="0" w:line="20" w:lineRule="exact"/>
              <w:rPr>
                <w:sz w:val="1"/>
                <w:szCs w:val="1"/>
                <w:color w:val="auto"/>
              </w:rPr>
            </w:pPr>
          </w:p>
        </w:tc>
        <w:tc>
          <w:tcPr>
            <w:tcW w:w="8540" w:type="dxa"/>
            <w:vAlign w:val="bottom"/>
            <w:tcBorders>
              <w:right w:val="single" w:sz="8" w:color="004876"/>
            </w:tcBorders>
            <w:shd w:val="clear" w:color="auto" w:fill="004876"/>
          </w:tcPr>
          <w:p>
            <w:pPr>
              <w:spacing w:after="0" w:line="20" w:lineRule="exact"/>
              <w:rPr>
                <w:sz w:val="1"/>
                <w:szCs w:val="1"/>
                <w:color w:val="auto"/>
              </w:rPr>
            </w:pPr>
          </w:p>
        </w:tc>
        <w:tc>
          <w:tcPr>
            <w:tcW w:w="1180" w:type="dxa"/>
            <w:vAlign w:val="bottom"/>
            <w:shd w:val="clear" w:color="auto" w:fill="00487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-678180</wp:posOffset>
            </wp:positionV>
            <wp:extent cx="6364605" cy="3665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64605" cy="366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004876"/>
        </w:rPr>
        <w:t> </w:t>
      </w:r>
    </w:p>
    <w:p>
      <w:pPr>
        <w:spacing w:after="0" w:line="11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FFFFFF"/>
        </w:rPr>
        <w:t>Prefer to receive an email instead? While voting on www.ProxyVote.com, be sure to click “Delivery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364605" cy="14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64605" cy="140335"/>
                    </a:xfrm>
                    <a:prstGeom prst="rect">
                      <a:avLst/>
                    </a:prstGeom>
                    <a:noFill/>
                  </pic:spPr>
                </pic:pic>
              </a:graphicData>
            </a:graphic>
          </wp:anchor>
        </w:drawing>
      </w:r>
    </w:p>
    <w:p>
      <w:pPr>
        <w:sectPr>
          <w:pgSz w:w="11900" w:h="16838" w:orient="portrait"/>
          <w:cols w:equalWidth="0" w:num="1">
            <w:col w:w="10020"/>
          </w:cols>
          <w:pgMar w:left="940" w:top="249" w:right="939" w:bottom="1440" w:gutter="0" w:footer="0" w:header="0"/>
        </w:sectPr>
      </w:pPr>
    </w:p>
    <w:p>
      <w:pPr>
        <w:spacing w:after="0" w:line="358"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V91959-P46019</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right"/>
        <w:ind w:right="140"/>
        <w:spacing w:after="0"/>
        <w:rPr>
          <w:sz w:val="20"/>
          <w:szCs w:val="20"/>
          <w:color w:val="auto"/>
        </w:rPr>
      </w:pPr>
      <w:r>
        <w:rPr>
          <w:rFonts w:ascii="Arial" w:cs="Arial" w:eastAsia="Arial" w:hAnsi="Arial"/>
          <w:sz w:val="13"/>
          <w:szCs w:val="13"/>
          <w:color w:val="7A51A1"/>
        </w:rPr>
        <w:t xml:space="preserve">       </w:t>
      </w:r>
    </w:p>
    <w:p>
      <w:pPr>
        <w:spacing w:after="0" w:line="8" w:lineRule="exact"/>
        <w:rPr>
          <w:sz w:val="20"/>
          <w:szCs w:val="20"/>
          <w:color w:val="auto"/>
        </w:rPr>
      </w:pPr>
    </w:p>
    <w:p>
      <w:pPr>
        <w:jc w:val="right"/>
        <w:ind w:right="140"/>
        <w:spacing w:after="0"/>
        <w:rPr>
          <w:sz w:val="20"/>
          <w:szCs w:val="20"/>
          <w:color w:val="auto"/>
        </w:rPr>
      </w:pPr>
      <w:r>
        <w:rPr>
          <w:rFonts w:ascii="Arial" w:cs="Arial" w:eastAsia="Arial" w:hAnsi="Arial"/>
          <w:sz w:val="13"/>
          <w:szCs w:val="13"/>
          <w:color w:val="7A51A1"/>
        </w:rPr>
        <w:t xml:space="preserve">       </w:t>
      </w:r>
    </w:p>
    <w:p>
      <w:pPr>
        <w:jc w:val="right"/>
        <w:ind w:right="140"/>
        <w:spacing w:after="0"/>
        <w:rPr>
          <w:sz w:val="20"/>
          <w:szCs w:val="20"/>
          <w:color w:val="auto"/>
        </w:rPr>
      </w:pPr>
      <w:r>
        <w:rPr>
          <w:rFonts w:ascii="Arial" w:cs="Arial" w:eastAsia="Arial" w:hAnsi="Arial"/>
          <w:sz w:val="13"/>
          <w:szCs w:val="13"/>
          <w:color w:val="7A51A1"/>
        </w:rPr>
        <w:t> </w:t>
      </w:r>
    </w:p>
    <w:p>
      <w:pPr>
        <w:sectPr>
          <w:pgSz w:w="11900" w:h="16838" w:orient="portrait"/>
          <w:cols w:equalWidth="0" w:num="2">
            <w:col w:w="8860" w:space="720"/>
            <w:col w:w="440"/>
          </w:cols>
          <w:pgMar w:left="940" w:top="249" w:right="93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587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5660" cy="358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3"/>
          <w:szCs w:val="23"/>
          <w:b w:val="1"/>
          <w:bCs w:val="1"/>
          <w:color w:val="00487D"/>
        </w:rPr>
        <w:t>You invested in MONTAUK RENEWABLES, INC. and it’s time to vote!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487D"/>
        </w:rPr>
        <w:t>Important Notice Regarding the Availability of Proxy Materials for the Stockholder Meeting To Be Held on May 26, 2026.</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00487D"/>
        </w:rPr>
        <w:t>You have the right to vote on proposals being presented at the Annual Meeting. Stockholders registered on the South African section of the Company’s register of stockholders may attend and vote electronically during the Annual Meeting. We strongly encourage you to vote prior to the Annual Meeting and no later than 15:00 South African Time on May 18, 2026. Information regarding how stockholders may vote prior to and at the Annual Meeting is described below. Further, stockholders are not permitted to transfer their shares to the United States register any time following the end of trading in South Africa on May 18, 2026 and until the conclusion of the Annual Meeting on May 26, 2026.</w:t>
      </w:r>
    </w:p>
    <w:p>
      <w:pPr>
        <w:spacing w:after="0" w:line="186" w:lineRule="exact"/>
        <w:rPr>
          <w:sz w:val="20"/>
          <w:szCs w:val="20"/>
          <w:color w:val="auto"/>
        </w:rPr>
      </w:pPr>
    </w:p>
    <w:p>
      <w:pPr>
        <w:spacing w:after="0"/>
        <w:rPr>
          <w:sz w:val="20"/>
          <w:szCs w:val="20"/>
          <w:color w:val="auto"/>
        </w:rPr>
      </w:pPr>
      <w:r>
        <w:rPr>
          <w:rFonts w:ascii="Arial" w:cs="Arial" w:eastAsia="Arial" w:hAnsi="Arial"/>
          <w:sz w:val="23"/>
          <w:szCs w:val="23"/>
          <w:b w:val="1"/>
          <w:bCs w:val="1"/>
          <w:color w:val="00487D"/>
        </w:rPr>
        <w:t>Get informed before you vote</w:t>
      </w:r>
    </w:p>
    <w:p>
      <w:pPr>
        <w:spacing w:after="0" w:line="5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00487D"/>
        </w:rPr>
        <w:t>You are receiving this notice because you are a stockholder registered on the South African section of the Company’s register of stockholders. The proxy materials, including the Proxy Statement and Annual Report on Form 10-K, are available at www.materials.proxyvote.com/61218C or you may request a paper or email copy of the full set of the proxy materials, at no charge, for this Annual Meeting and future stockholder meetings by, in the case of shares held in the Strate System, contacting your Central Securities Depositary Participant or broker, as applicable, and. if you are a stockholder of record, facsimile transmission at +27 (0)11 688 5238, e-mail at proxy@computershare.co.za or mail at Computershare Investor Services Proprietary Limited, Rosebank Towers, 15 Biermann Avenue, Rosebank, 2196 (Private Bag X9000, Saxonwold, 2132) South Africa, in each case, no later than May 18, 2026.</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00487D"/>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6812280" cy="678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2280" cy="67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680" w:val="left"/>
        </w:tabs>
        <w:rPr>
          <w:sz w:val="20"/>
          <w:szCs w:val="20"/>
          <w:color w:val="auto"/>
        </w:rPr>
      </w:pPr>
      <w:r>
        <w:rPr>
          <w:rFonts w:ascii="Arial" w:cs="Arial" w:eastAsia="Arial" w:hAnsi="Arial"/>
          <w:sz w:val="20"/>
          <w:szCs w:val="20"/>
          <w:b w:val="1"/>
          <w:bCs w:val="1"/>
          <w:color w:val="00487D"/>
        </w:rPr>
        <w:t>Attend the Annual Meeting</w:t>
      </w:r>
      <w:r>
        <w:rPr>
          <w:sz w:val="20"/>
          <w:szCs w:val="20"/>
          <w:color w:val="auto"/>
        </w:rPr>
        <w:tab/>
      </w:r>
      <w:r>
        <w:rPr>
          <w:rFonts w:ascii="Arial" w:cs="Arial" w:eastAsia="Arial" w:hAnsi="Arial"/>
          <w:sz w:val="19"/>
          <w:szCs w:val="19"/>
          <w:b w:val="1"/>
          <w:bCs w:val="1"/>
          <w:color w:val="00487D"/>
        </w:rPr>
        <w:t>Vote Prior to or Electronically During the Annual Meeting</w:t>
      </w:r>
    </w:p>
    <w:p>
      <w:pPr>
        <w:sectPr>
          <w:pgSz w:w="11900" w:h="16838" w:orient="portrait"/>
          <w:cols w:equalWidth="0" w:num="1">
            <w:col w:w="10020"/>
          </w:cols>
          <w:pgMar w:left="940" w:top="1440" w:right="939" w:bottom="1440" w:gutter="0" w:footer="0" w:header="0"/>
        </w:sectPr>
      </w:pPr>
    </w:p>
    <w:p>
      <w:pPr>
        <w:spacing w:after="0" w:line="21" w:lineRule="exact"/>
        <w:rPr>
          <w:sz w:val="20"/>
          <w:szCs w:val="20"/>
          <w:color w:val="auto"/>
        </w:rPr>
      </w:pPr>
    </w:p>
    <w:p>
      <w:pPr>
        <w:spacing w:after="0" w:line="245" w:lineRule="auto"/>
        <w:rPr>
          <w:sz w:val="20"/>
          <w:szCs w:val="20"/>
          <w:color w:val="auto"/>
        </w:rPr>
      </w:pPr>
      <w:r>
        <w:rPr>
          <w:rFonts w:ascii="Arial" w:cs="Arial" w:eastAsia="Arial" w:hAnsi="Arial"/>
          <w:sz w:val="13"/>
          <w:szCs w:val="13"/>
          <w:color w:val="00487D"/>
        </w:rPr>
        <w:t>If you wish to attend the Annual Meeting, you will need a control number to attend and/or vote your shares. Directions on how to obtain a control number are described in the proxy materials.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00487D"/>
        </w:rPr>
        <w:t>Instructions on how to vote your shares are included in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260985</wp:posOffset>
            </wp:positionV>
            <wp:extent cx="636460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64605" cy="38735"/>
                    </a:xfrm>
                    <a:prstGeom prst="rect">
                      <a:avLst/>
                    </a:prstGeom>
                    <a:noFill/>
                  </pic:spPr>
                </pic:pic>
              </a:graphicData>
            </a:graphic>
          </wp:anchor>
        </w:drawing>
      </w:r>
    </w:p>
    <w:p>
      <w:pPr>
        <w:sectPr>
          <w:pgSz w:w="11900" w:h="16838" w:orient="portrait"/>
          <w:cols w:equalWidth="0" w:num="2">
            <w:col w:w="4440" w:space="260"/>
            <w:col w:w="5320"/>
          </w:cols>
          <w:pgMar w:left="940" w:top="1440" w:right="9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6"/>
          <w:szCs w:val="26"/>
          <w:b w:val="1"/>
          <w:bCs w:val="1"/>
          <w:color w:val="00487D"/>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5660" cy="36195"/>
                    </a:xfrm>
                    <a:prstGeom prst="rect">
                      <a:avLst/>
                    </a:prstGeom>
                    <a:noFill/>
                  </pic:spPr>
                </pic:pic>
              </a:graphicData>
            </a:graphic>
          </wp:anchor>
        </w:drawing>
        <w:drawing>
          <wp:anchor simplePos="0" relativeHeight="251657728" behindDoc="1" locked="0" layoutInCell="0" allowOverlap="1">
            <wp:simplePos x="0" y="0"/>
            <wp:positionH relativeFrom="page">
              <wp:posOffset>591820</wp:posOffset>
            </wp:positionH>
            <wp:positionV relativeFrom="page">
              <wp:posOffset>221615</wp:posOffset>
            </wp:positionV>
            <wp:extent cx="636460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64605" cy="38735"/>
                    </a:xfrm>
                    <a:prstGeom prst="rect">
                      <a:avLst/>
                    </a:prstGeom>
                    <a:noFill/>
                  </pic:spPr>
                </pic:pic>
              </a:graphicData>
            </a:graphic>
          </wp:anchor>
        </w:drawing>
        <w:t>THIS IS NOT A VOTABLE BALLOT</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00487D"/>
        </w:rPr>
        <w:t>You cannot use this notice to vote your shares. This communication presents only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00487D"/>
        </w:rPr>
        <w:t>an overview of the more complete proxy materials that are available to you on the</w:t>
      </w:r>
    </w:p>
    <w:p>
      <w:pPr>
        <w:spacing w:after="0" w:line="236" w:lineRule="auto"/>
        <w:tabs>
          <w:tab w:leader="none" w:pos="560" w:val="left"/>
          <w:tab w:leader="none" w:pos="820" w:val="left"/>
          <w:tab w:leader="none" w:pos="1100" w:val="left"/>
          <w:tab w:leader="none" w:pos="1520" w:val="left"/>
          <w:tab w:leader="none" w:pos="1900" w:val="left"/>
          <w:tab w:leader="none" w:pos="2280" w:val="left"/>
          <w:tab w:leader="none" w:pos="2700" w:val="left"/>
          <w:tab w:leader="none" w:pos="3020" w:val="left"/>
          <w:tab w:leader="none" w:pos="3500" w:val="left"/>
          <w:tab w:leader="none" w:pos="4180" w:val="left"/>
          <w:tab w:leader="none" w:pos="4660" w:val="left"/>
        </w:tabs>
        <w:rPr>
          <w:sz w:val="20"/>
          <w:szCs w:val="20"/>
          <w:color w:val="auto"/>
        </w:rPr>
      </w:pPr>
      <w:r>
        <w:rPr>
          <w:rFonts w:ascii="Arial" w:cs="Arial" w:eastAsia="Arial" w:hAnsi="Arial"/>
          <w:sz w:val="13"/>
          <w:szCs w:val="13"/>
          <w:color w:val="00487D"/>
        </w:rPr>
        <w:t>internet</w:t>
        <w:tab/>
        <w:t>or</w:t>
        <w:tab/>
        <w:t>by</w:t>
        <w:tab/>
        <w:t>mail.</w:t>
        <w:tab/>
        <w:t>You</w:t>
        <w:tab/>
        <w:t>may</w:t>
        <w:tab/>
        <w:t>view</w:t>
        <w:tab/>
        <w:t>the</w:t>
        <w:tab/>
        <w:t>proxy</w:t>
        <w:tab/>
        <w:t>materials</w:t>
        <w:tab/>
        <w:t>online</w:t>
        <w:tab/>
        <w:t>at</w:t>
      </w:r>
    </w:p>
    <w:p>
      <w:pPr>
        <w:spacing w:after="0" w:line="237" w:lineRule="auto"/>
        <w:rPr>
          <w:sz w:val="20"/>
          <w:szCs w:val="20"/>
          <w:color w:val="auto"/>
        </w:rPr>
      </w:pPr>
      <w:r>
        <w:rPr>
          <w:rFonts w:ascii="Arial" w:cs="Arial" w:eastAsia="Arial" w:hAnsi="Arial"/>
          <w:sz w:val="13"/>
          <w:szCs w:val="13"/>
          <w:color w:val="00487D"/>
        </w:rPr>
        <w:t>www.materials.proxyvote.com/61218C or easily request a paper copy (see the</w:t>
      </w:r>
    </w:p>
    <w:p>
      <w:pPr>
        <w:spacing w:after="0" w:line="236" w:lineRule="auto"/>
        <w:rPr>
          <w:sz w:val="20"/>
          <w:szCs w:val="20"/>
          <w:color w:val="auto"/>
        </w:rPr>
      </w:pPr>
      <w:r>
        <w:rPr>
          <w:rFonts w:ascii="Arial" w:cs="Arial" w:eastAsia="Arial" w:hAnsi="Arial"/>
          <w:sz w:val="13"/>
          <w:szCs w:val="13"/>
          <w:color w:val="00487D"/>
        </w:rPr>
        <w:t>reverse side). We encourage you to access and review all of the important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00487D"/>
        </w:rPr>
        <w:t>information contained in the proxy materials before voting.</w:t>
      </w:r>
    </w:p>
    <w:p>
      <w:pPr>
        <w:spacing w:after="0" w:line="325" w:lineRule="exact"/>
        <w:rPr>
          <w:sz w:val="20"/>
          <w:szCs w:val="20"/>
          <w:color w:val="auto"/>
        </w:rPr>
      </w:pPr>
    </w:p>
    <w:p>
      <w:pPr>
        <w:ind w:left="10460"/>
        <w:spacing w:after="0"/>
        <w:rPr>
          <w:sz w:val="20"/>
          <w:szCs w:val="20"/>
          <w:color w:val="auto"/>
        </w:rPr>
      </w:pPr>
      <w:r>
        <w:rPr>
          <w:rFonts w:ascii="Arial" w:cs="Arial" w:eastAsia="Arial" w:hAnsi="Arial"/>
          <w:sz w:val="13"/>
          <w:szCs w:val="13"/>
          <w:b w:val="1"/>
          <w:bCs w:val="1"/>
          <w:color w:val="00487D"/>
        </w:rPr>
        <w:t>Boa</w:t>
      </w:r>
    </w:p>
    <w:p>
      <w:pPr>
        <w:spacing w:after="0" w:line="36"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b w:val="1"/>
          <w:bCs w:val="1"/>
          <w:color w:val="00487D"/>
        </w:rPr>
        <w:t xml:space="preserve">  Voting Items Recom </w:t>
      </w:r>
      <w:r>
        <w:rPr>
          <w:rFonts w:ascii="Arial" w:cs="Arial" w:eastAsia="Arial" w:hAnsi="Arial"/>
          <w:sz w:val="15"/>
          <w:szCs w:val="15"/>
          <w:color w:val="00487D"/>
        </w:rPr>
        <w:t>  1. Proposal to elect two nominees to the Board of Directors for a term expiring at the 2029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812280" cy="951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12280" cy="95186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0" w:type="dxa"/>
            <w:vAlign w:val="bottom"/>
          </w:tcPr>
          <w:p>
            <w:pPr>
              <w:spacing w:after="0"/>
              <w:rPr>
                <w:sz w:val="17"/>
                <w:szCs w:val="17"/>
                <w:color w:val="auto"/>
              </w:rPr>
            </w:pPr>
          </w:p>
        </w:tc>
        <w:tc>
          <w:tcPr>
            <w:tcW w:w="9800" w:type="dxa"/>
            <w:vAlign w:val="bottom"/>
            <w:shd w:val="clear" w:color="auto" w:fill="F2F2FC"/>
          </w:tcPr>
          <w:p>
            <w:pPr>
              <w:ind w:left="60"/>
              <w:spacing w:after="0"/>
              <w:rPr>
                <w:sz w:val="20"/>
                <w:szCs w:val="20"/>
                <w:color w:val="auto"/>
              </w:rPr>
            </w:pPr>
            <w:r>
              <w:rPr>
                <w:rFonts w:ascii="Arial" w:cs="Arial" w:eastAsia="Arial" w:hAnsi="Arial"/>
                <w:sz w:val="15"/>
                <w:szCs w:val="15"/>
                <w:b w:val="1"/>
                <w:bCs w:val="1"/>
                <w:color w:val="00487D"/>
              </w:rPr>
              <w:t>Nominees: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 w:type="dxa"/>
            <w:vAlign w:val="bottom"/>
            <w:shd w:val="clear" w:color="auto" w:fill="F0EFED"/>
          </w:tcPr>
          <w:p>
            <w:pPr>
              <w:spacing w:after="0"/>
              <w:rPr>
                <w:sz w:val="20"/>
                <w:szCs w:val="20"/>
                <w:color w:val="auto"/>
              </w:rPr>
            </w:pPr>
            <w:r>
              <w:rPr>
                <w:rFonts w:ascii="Arial" w:cs="Arial" w:eastAsia="Arial" w:hAnsi="Arial"/>
                <w:sz w:val="15"/>
                <w:szCs w:val="15"/>
                <w:color w:val="00487D"/>
                <w:w w:val="98"/>
              </w:rPr>
              <w:t>  1a.</w:t>
            </w:r>
          </w:p>
        </w:tc>
        <w:tc>
          <w:tcPr>
            <w:tcW w:w="9800" w:type="dxa"/>
            <w:vAlign w:val="bottom"/>
            <w:shd w:val="clear" w:color="auto" w:fill="F2F2FC"/>
          </w:tcPr>
          <w:p>
            <w:pPr>
              <w:ind w:left="60"/>
              <w:spacing w:after="0"/>
              <w:rPr>
                <w:sz w:val="20"/>
                <w:szCs w:val="20"/>
                <w:color w:val="auto"/>
              </w:rPr>
            </w:pPr>
            <w:r>
              <w:rPr>
                <w:rFonts w:ascii="Arial" w:cs="Arial" w:eastAsia="Arial" w:hAnsi="Arial"/>
                <w:sz w:val="15"/>
                <w:szCs w:val="15"/>
                <w:color w:val="00487D"/>
              </w:rPr>
              <w:t>Jennifer Cunningham</w:t>
            </w:r>
          </w:p>
        </w:tc>
        <w:tc>
          <w:tcPr>
            <w:tcW w:w="580" w:type="dxa"/>
            <w:vAlign w:val="bottom"/>
            <w:vMerge w:val="restart"/>
            <w:shd w:val="clear" w:color="auto" w:fill="F0EFED"/>
          </w:tcPr>
          <w:p>
            <w:pPr>
              <w:ind w:left="320"/>
              <w:spacing w:after="0"/>
              <w:rPr>
                <w:sz w:val="20"/>
                <w:szCs w:val="20"/>
                <w:color w:val="auto"/>
              </w:rPr>
            </w:pPr>
            <w:r>
              <w:rPr>
                <w:rFonts w:ascii="Arial" w:cs="Arial" w:eastAsia="Arial" w:hAnsi="Arial"/>
                <w:sz w:val="15"/>
                <w:szCs w:val="15"/>
                <w:color w:val="00487D"/>
              </w:rPr>
              <w:t>For</w:t>
            </w:r>
          </w:p>
        </w:tc>
        <w:tc>
          <w:tcPr>
            <w:tcW w:w="0" w:type="dxa"/>
            <w:vAlign w:val="bottom"/>
          </w:tcPr>
          <w:p>
            <w:pPr>
              <w:spacing w:after="0"/>
              <w:rPr>
                <w:sz w:val="1"/>
                <w:szCs w:val="1"/>
                <w:color w:val="auto"/>
              </w:rPr>
            </w:pPr>
          </w:p>
        </w:tc>
      </w:tr>
      <w:tr>
        <w:trPr>
          <w:trHeight w:val="77"/>
        </w:trPr>
        <w:tc>
          <w:tcPr>
            <w:tcW w:w="340" w:type="dxa"/>
            <w:vAlign w:val="bottom"/>
            <w:tcBorders>
              <w:bottom w:val="single" w:sz="8" w:color="00487D"/>
            </w:tcBorders>
            <w:shd w:val="clear" w:color="auto" w:fill="F0EFED"/>
          </w:tcPr>
          <w:p>
            <w:pPr>
              <w:spacing w:after="0"/>
              <w:rPr>
                <w:sz w:val="6"/>
                <w:szCs w:val="6"/>
                <w:color w:val="auto"/>
              </w:rPr>
            </w:pPr>
          </w:p>
        </w:tc>
        <w:tc>
          <w:tcPr>
            <w:tcW w:w="9800" w:type="dxa"/>
            <w:vAlign w:val="bottom"/>
            <w:tcBorders>
              <w:bottom w:val="single" w:sz="8" w:color="00487D"/>
            </w:tcBorders>
            <w:shd w:val="clear" w:color="auto" w:fill="F2F2FC"/>
          </w:tcPr>
          <w:p>
            <w:pPr>
              <w:spacing w:after="0"/>
              <w:rPr>
                <w:sz w:val="6"/>
                <w:szCs w:val="6"/>
                <w:color w:val="auto"/>
              </w:rPr>
            </w:pPr>
          </w:p>
        </w:tc>
        <w:tc>
          <w:tcPr>
            <w:tcW w:w="580" w:type="dxa"/>
            <w:vAlign w:val="bottom"/>
            <w:tcBorders>
              <w:bottom w:val="single" w:sz="8" w:color="00487D"/>
            </w:tcBorders>
            <w:vMerge w:val="continue"/>
            <w:shd w:val="clear" w:color="auto" w:fill="F0EFED"/>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F0EFED"/>
          </w:tcPr>
          <w:p>
            <w:pPr>
              <w:spacing w:after="0"/>
              <w:rPr>
                <w:sz w:val="20"/>
                <w:szCs w:val="20"/>
                <w:color w:val="auto"/>
              </w:rPr>
            </w:pPr>
            <w:r>
              <w:rPr>
                <w:rFonts w:ascii="Arial" w:cs="Arial" w:eastAsia="Arial" w:hAnsi="Arial"/>
                <w:sz w:val="15"/>
                <w:szCs w:val="15"/>
                <w:color w:val="00487D"/>
                <w:w w:val="98"/>
              </w:rPr>
              <w:t>  1b.</w:t>
            </w:r>
          </w:p>
        </w:tc>
        <w:tc>
          <w:tcPr>
            <w:tcW w:w="9800" w:type="dxa"/>
            <w:vAlign w:val="bottom"/>
            <w:shd w:val="clear" w:color="auto" w:fill="F2F2FC"/>
          </w:tcPr>
          <w:p>
            <w:pPr>
              <w:ind w:left="60"/>
              <w:spacing w:after="0"/>
              <w:rPr>
                <w:sz w:val="20"/>
                <w:szCs w:val="20"/>
                <w:color w:val="auto"/>
              </w:rPr>
            </w:pPr>
            <w:r>
              <w:rPr>
                <w:rFonts w:ascii="Arial" w:cs="Arial" w:eastAsia="Arial" w:hAnsi="Arial"/>
                <w:sz w:val="15"/>
                <w:szCs w:val="15"/>
                <w:color w:val="00487D"/>
              </w:rPr>
              <w:t>Sean F. McClain</w:t>
            </w:r>
          </w:p>
        </w:tc>
        <w:tc>
          <w:tcPr>
            <w:tcW w:w="580" w:type="dxa"/>
            <w:vAlign w:val="bottom"/>
            <w:vMerge w:val="restart"/>
            <w:shd w:val="clear" w:color="auto" w:fill="F0EFED"/>
          </w:tcPr>
          <w:p>
            <w:pPr>
              <w:ind w:left="320"/>
              <w:spacing w:after="0"/>
              <w:rPr>
                <w:sz w:val="20"/>
                <w:szCs w:val="20"/>
                <w:color w:val="auto"/>
              </w:rPr>
            </w:pPr>
            <w:r>
              <w:rPr>
                <w:rFonts w:ascii="Arial" w:cs="Arial" w:eastAsia="Arial" w:hAnsi="Arial"/>
                <w:sz w:val="15"/>
                <w:szCs w:val="15"/>
                <w:color w:val="00487D"/>
              </w:rPr>
              <w:t>For</w:t>
            </w:r>
          </w:p>
        </w:tc>
        <w:tc>
          <w:tcPr>
            <w:tcW w:w="0" w:type="dxa"/>
            <w:vAlign w:val="bottom"/>
          </w:tcPr>
          <w:p>
            <w:pPr>
              <w:spacing w:after="0"/>
              <w:rPr>
                <w:sz w:val="1"/>
                <w:szCs w:val="1"/>
                <w:color w:val="auto"/>
              </w:rPr>
            </w:pPr>
          </w:p>
        </w:tc>
      </w:tr>
      <w:tr>
        <w:trPr>
          <w:trHeight w:val="77"/>
        </w:trPr>
        <w:tc>
          <w:tcPr>
            <w:tcW w:w="340" w:type="dxa"/>
            <w:vAlign w:val="bottom"/>
            <w:tcBorders>
              <w:bottom w:val="single" w:sz="8" w:color="00487D"/>
            </w:tcBorders>
            <w:shd w:val="clear" w:color="auto" w:fill="F0EFED"/>
          </w:tcPr>
          <w:p>
            <w:pPr>
              <w:spacing w:after="0"/>
              <w:rPr>
                <w:sz w:val="6"/>
                <w:szCs w:val="6"/>
                <w:color w:val="auto"/>
              </w:rPr>
            </w:pPr>
          </w:p>
        </w:tc>
        <w:tc>
          <w:tcPr>
            <w:tcW w:w="9800" w:type="dxa"/>
            <w:vAlign w:val="bottom"/>
            <w:tcBorders>
              <w:bottom w:val="single" w:sz="8" w:color="00487D"/>
            </w:tcBorders>
            <w:shd w:val="clear" w:color="auto" w:fill="F2F2FC"/>
          </w:tcPr>
          <w:p>
            <w:pPr>
              <w:spacing w:after="0"/>
              <w:rPr>
                <w:sz w:val="6"/>
                <w:szCs w:val="6"/>
                <w:color w:val="auto"/>
              </w:rPr>
            </w:pPr>
          </w:p>
        </w:tc>
        <w:tc>
          <w:tcPr>
            <w:tcW w:w="580" w:type="dxa"/>
            <w:vAlign w:val="bottom"/>
            <w:tcBorders>
              <w:bottom w:val="single" w:sz="8" w:color="00487D"/>
            </w:tcBorders>
            <w:vMerge w:val="continue"/>
            <w:shd w:val="clear" w:color="auto" w:fill="F0EFED"/>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F0EFED"/>
          </w:tcPr>
          <w:p>
            <w:pPr>
              <w:spacing w:after="0"/>
              <w:rPr>
                <w:sz w:val="20"/>
                <w:szCs w:val="20"/>
                <w:color w:val="auto"/>
              </w:rPr>
            </w:pPr>
            <w:r>
              <w:rPr>
                <w:rFonts w:ascii="Arial" w:cs="Arial" w:eastAsia="Arial" w:hAnsi="Arial"/>
                <w:sz w:val="15"/>
                <w:szCs w:val="15"/>
                <w:color w:val="00487D"/>
              </w:rPr>
              <w:t>  2.</w:t>
            </w:r>
          </w:p>
        </w:tc>
        <w:tc>
          <w:tcPr>
            <w:tcW w:w="9800" w:type="dxa"/>
            <w:vAlign w:val="bottom"/>
            <w:shd w:val="clear" w:color="auto" w:fill="F2F2FC"/>
          </w:tcPr>
          <w:p>
            <w:pPr>
              <w:ind w:left="60"/>
              <w:spacing w:after="0"/>
              <w:rPr>
                <w:sz w:val="20"/>
                <w:szCs w:val="20"/>
                <w:color w:val="auto"/>
              </w:rPr>
            </w:pPr>
            <w:r>
              <w:rPr>
                <w:rFonts w:ascii="Arial" w:cs="Arial" w:eastAsia="Arial" w:hAnsi="Arial"/>
                <w:sz w:val="15"/>
                <w:szCs w:val="15"/>
                <w:color w:val="00487D"/>
                <w:w w:val="98"/>
              </w:rPr>
              <w:t>Ratification of the appointment of Grant Thornton LLP as independent registered public accounting firm for the fiscal year ending December 31, 2026.</w:t>
            </w:r>
          </w:p>
        </w:tc>
        <w:tc>
          <w:tcPr>
            <w:tcW w:w="580" w:type="dxa"/>
            <w:vAlign w:val="bottom"/>
            <w:vMerge w:val="restart"/>
            <w:shd w:val="clear" w:color="auto" w:fill="F0EFED"/>
          </w:tcPr>
          <w:p>
            <w:pPr>
              <w:ind w:left="320"/>
              <w:spacing w:after="0"/>
              <w:rPr>
                <w:sz w:val="20"/>
                <w:szCs w:val="20"/>
                <w:color w:val="auto"/>
              </w:rPr>
            </w:pPr>
            <w:r>
              <w:rPr>
                <w:rFonts w:ascii="Arial" w:cs="Arial" w:eastAsia="Arial" w:hAnsi="Arial"/>
                <w:sz w:val="15"/>
                <w:szCs w:val="15"/>
                <w:color w:val="00487D"/>
              </w:rPr>
              <w:t>For</w:t>
            </w:r>
          </w:p>
        </w:tc>
        <w:tc>
          <w:tcPr>
            <w:tcW w:w="0" w:type="dxa"/>
            <w:vAlign w:val="bottom"/>
          </w:tcPr>
          <w:p>
            <w:pPr>
              <w:spacing w:after="0"/>
              <w:rPr>
                <w:sz w:val="1"/>
                <w:szCs w:val="1"/>
                <w:color w:val="auto"/>
              </w:rPr>
            </w:pPr>
          </w:p>
        </w:tc>
      </w:tr>
      <w:tr>
        <w:trPr>
          <w:trHeight w:val="77"/>
        </w:trPr>
        <w:tc>
          <w:tcPr>
            <w:tcW w:w="340" w:type="dxa"/>
            <w:vAlign w:val="bottom"/>
            <w:tcBorders>
              <w:bottom w:val="single" w:sz="8" w:color="00487D"/>
            </w:tcBorders>
            <w:shd w:val="clear" w:color="auto" w:fill="F0EFED"/>
          </w:tcPr>
          <w:p>
            <w:pPr>
              <w:spacing w:after="0"/>
              <w:rPr>
                <w:sz w:val="6"/>
                <w:szCs w:val="6"/>
                <w:color w:val="auto"/>
              </w:rPr>
            </w:pPr>
          </w:p>
        </w:tc>
        <w:tc>
          <w:tcPr>
            <w:tcW w:w="9800" w:type="dxa"/>
            <w:vAlign w:val="bottom"/>
            <w:tcBorders>
              <w:bottom w:val="single" w:sz="8" w:color="00487D"/>
            </w:tcBorders>
            <w:shd w:val="clear" w:color="auto" w:fill="F2F2FC"/>
          </w:tcPr>
          <w:p>
            <w:pPr>
              <w:spacing w:after="0"/>
              <w:rPr>
                <w:sz w:val="6"/>
                <w:szCs w:val="6"/>
                <w:color w:val="auto"/>
              </w:rPr>
            </w:pPr>
          </w:p>
        </w:tc>
        <w:tc>
          <w:tcPr>
            <w:tcW w:w="580" w:type="dxa"/>
            <w:vAlign w:val="bottom"/>
            <w:tcBorders>
              <w:bottom w:val="single" w:sz="8" w:color="00487D"/>
            </w:tcBorders>
            <w:vMerge w:val="continue"/>
            <w:shd w:val="clear" w:color="auto" w:fill="F0EFED"/>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9800" w:type="dxa"/>
            <w:vAlign w:val="bottom"/>
            <w:shd w:val="clear" w:color="auto" w:fill="F2F2FC"/>
          </w:tcPr>
          <w:p>
            <w:pPr>
              <w:spacing w:after="0"/>
              <w:rPr>
                <w:sz w:val="14"/>
                <w:szCs w:val="14"/>
                <w:color w:val="auto"/>
              </w:rPr>
            </w:pPr>
          </w:p>
        </w:tc>
        <w:tc>
          <w:tcPr>
            <w:tcW w:w="580" w:type="dxa"/>
            <w:vAlign w:val="bottom"/>
            <w:shd w:val="clear" w:color="auto" w:fill="F2F2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6469380</wp:posOffset>
            </wp:positionH>
            <wp:positionV relativeFrom="paragraph">
              <wp:posOffset>-685800</wp:posOffset>
            </wp:positionV>
            <wp:extent cx="147955" cy="140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000000"/>
                        </a:clrFrom>
                        <a:clrTo>
                          <a:srgbClr val="000000">
                            <a:alpha val="0"/>
                          </a:srgbClr>
                        </a:clrTo>
                      </a:clrChange>
                      <a:extLst>
                        <a:ext uri="{28A0092B-C50C-407E-A947-70E740481C1C}"/>
                      </a:extLst>
                    </a:blip>
                    <a:srcRect/>
                    <a:stretch>
                      <a:fillRect/>
                    </a:stretch>
                  </pic:blipFill>
                  <pic:spPr bwMode="auto">
                    <a:xfrm>
                      <a:off x="0" y="0"/>
                      <a:ext cx="147955" cy="14033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-685800</wp:posOffset>
            </wp:positionV>
            <wp:extent cx="147955" cy="14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955" cy="14033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-483235</wp:posOffset>
            </wp:positionV>
            <wp:extent cx="147955" cy="140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000000"/>
                        </a:clrFrom>
                        <a:clrTo>
                          <a:srgbClr val="000000">
                            <a:alpha val="0"/>
                          </a:srgbClr>
                        </a:clrTo>
                      </a:clrChange>
                      <a:extLst>
                        <a:ext uri="{28A0092B-C50C-407E-A947-70E740481C1C}"/>
                      </a:extLst>
                    </a:blip>
                    <a:srcRect/>
                    <a:stretch>
                      <a:fillRect/>
                    </a:stretch>
                  </pic:blipFill>
                  <pic:spPr bwMode="auto">
                    <a:xfrm>
                      <a:off x="0" y="0"/>
                      <a:ext cx="147955" cy="14033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-483235</wp:posOffset>
            </wp:positionV>
            <wp:extent cx="147955" cy="14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955" cy="14033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-280035</wp:posOffset>
            </wp:positionV>
            <wp:extent cx="147955" cy="140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000000"/>
                        </a:clrFrom>
                        <a:clrTo>
                          <a:srgbClr val="000000">
                            <a:alpha val="0"/>
                          </a:srgbClr>
                        </a:clrTo>
                      </a:clrChange>
                      <a:extLst>
                        <a:ext uri="{28A0092B-C50C-407E-A947-70E740481C1C}"/>
                      </a:extLst>
                    </a:blip>
                    <a:srcRect/>
                    <a:stretch>
                      <a:fillRect/>
                    </a:stretch>
                  </pic:blipFill>
                  <pic:spPr bwMode="auto">
                    <a:xfrm>
                      <a:off x="0" y="0"/>
                      <a:ext cx="147955" cy="14033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-280035</wp:posOffset>
            </wp:positionV>
            <wp:extent cx="147955" cy="140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7955" cy="140335"/>
                    </a:xfrm>
                    <a:prstGeom prst="rect">
                      <a:avLst/>
                    </a:prstGeom>
                    <a:noFill/>
                  </pic:spPr>
                </pic:pic>
              </a:graphicData>
            </a:graphic>
          </wp:anchor>
        </w:drawing>
      </w:r>
    </w:p>
    <w:sectPr>
      <w:pgSz w:w="11900" w:h="16838" w:orient="portrait"/>
      <w:cols w:equalWidth="0" w:num="1">
        <w:col w:w="10720"/>
      </w:cols>
      <w:pgMar w:left="940" w:top="4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2026-04-10T06:53:00Z</dcterms:created>
  <dcterms:modified xsi:type="dcterms:W3CDTF">2026-04-10T06:53:00Z</dcterms:modified>
</cp:coreProperties>
</file>