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Montauk Renewables,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1-39919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85-3189583</w:t>
      </w:r>
    </w:p>
    <w:p>
      <w:pPr>
        <w:spacing w:after="0" w:line="24" w:lineRule="exact"/>
        <w:rPr>
          <w:sz w:val="24"/>
          <w:szCs w:val="24"/>
          <w:color w:val="auto"/>
        </w:rPr>
      </w:pPr>
    </w:p>
    <w:p>
      <w:pPr>
        <w:sectPr>
          <w:pgSz w:w="11900" w:h="16838" w:orient="portrait"/>
          <w:cols w:equalWidth="0" w:num="3">
            <w:col w:w="4600" w:space="720"/>
            <w:col w:w="2780" w:space="720"/>
            <w:col w:w="2200"/>
          </w:cols>
          <w:pgMar w:left="440" w:top="443"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5313 Campbells Run Road, Suite 200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Pittsburgh, PA 15205</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(412) 747-8700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MNTK</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7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May 26, 2026, Montauk Renewables, Inc. (the “Company”) held its 2026 Annual Meeting of Stockholders (the “Annual Meeting”). Set forth below are the final voting results for each of the matters submitted to a vote of the stockholders at the Annual Meeting.</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The two director nominees nominated by the Company’s Board of Directors (the “Board”) for election to the Board were elected, each for a term that will expire at the annual meeting of stockholders held in 2029, based upon the following votes: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3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38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Jennifer Cunningham</w:t>
            </w:r>
          </w:p>
        </w:tc>
        <w:tc>
          <w:tcPr>
            <w:tcW w:w="2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95,930,621</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1,276,666</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4,327,793</w:t>
            </w:r>
          </w:p>
        </w:tc>
      </w:tr>
      <w:tr>
        <w:trPr>
          <w:trHeight w:val="23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McClain</w:t>
            </w:r>
          </w:p>
        </w:tc>
        <w:tc>
          <w:tcPr>
            <w:tcW w:w="308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rPr>
              <w:t>91,449,396</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5,757,891</w:t>
            </w:r>
          </w:p>
        </w:tc>
        <w:tc>
          <w:tcPr>
            <w:tcW w:w="1380" w:type="dxa"/>
            <w:vAlign w:val="bottom"/>
            <w:gridSpan w:val="2"/>
          </w:tcPr>
          <w:p>
            <w:pPr>
              <w:jc w:val="center"/>
              <w:ind w:left="179"/>
              <w:spacing w:after="0"/>
              <w:rPr>
                <w:sz w:val="20"/>
                <w:szCs w:val="20"/>
                <w:color w:val="auto"/>
              </w:rPr>
            </w:pPr>
            <w:r>
              <w:rPr>
                <w:rFonts w:ascii="Times New Roman" w:cs="Times New Roman" w:eastAsia="Times New Roman" w:hAnsi="Times New Roman"/>
                <w:sz w:val="18"/>
                <w:szCs w:val="18"/>
                <w:color w:val="auto"/>
                <w:w w:val="99"/>
              </w:rPr>
              <w:t>4,327,793</w:t>
            </w: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The proposal to ratify the appointment of Grant Thornton LLP as the Company’s independent registered public accounting firm for the fiscal year ending December 31, 2026 was approved based upon the following votes: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0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96,949,187</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4,570,221</w:t>
            </w:r>
          </w:p>
        </w:tc>
        <w:tc>
          <w:tcPr>
            <w:tcW w:w="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15,672</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MONTAUK RENEWABLES,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Ciroli</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Ciroli</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2026-05-28T09:03:18Z</dcterms:created>
  <dcterms:modified xsi:type="dcterms:W3CDTF">2026-05-28T09:03:18Z</dcterms:modified>
</cp:coreProperties>
</file>